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EC2" w:rsidRDefault="00453EC2" w:rsidP="00BE002F">
      <w:pPr>
        <w:pStyle w:val="Titre"/>
      </w:pPr>
      <w:r>
        <w:t>Fiche COVID 19</w:t>
      </w:r>
    </w:p>
    <w:p w:rsidR="002E6850" w:rsidRDefault="002E6850" w:rsidP="00256ACB">
      <w:pPr>
        <w:pStyle w:val="Titre"/>
      </w:pPr>
      <w:r>
        <w:t>Aide humaine en emploi direct :</w:t>
      </w:r>
      <w:r w:rsidR="00BE002F">
        <w:t xml:space="preserve"> </w:t>
      </w:r>
    </w:p>
    <w:p w:rsidR="0057756D" w:rsidRDefault="00F634C0" w:rsidP="00256ACB">
      <w:pPr>
        <w:pStyle w:val="Titre"/>
      </w:pPr>
      <w:r>
        <w:t>L’indemnisation exceptionnelle</w:t>
      </w:r>
    </w:p>
    <w:p w:rsidR="00256ACB" w:rsidRDefault="00256ACB"/>
    <w:p w:rsidR="00F96FF4" w:rsidRDefault="00F96FF4">
      <w:r>
        <w:t xml:space="preserve">Si le </w:t>
      </w:r>
      <w:r w:rsidR="00D940CD">
        <w:t>particulier employeur (</w:t>
      </w:r>
      <w:r>
        <w:t>PE</w:t>
      </w:r>
      <w:r w:rsidR="00D940CD">
        <w:t>)</w:t>
      </w:r>
      <w:r>
        <w:t xml:space="preserve"> demande à son salarié de ne pas venir travailler</w:t>
      </w:r>
      <w:r w:rsidR="00354AB9">
        <w:rPr>
          <w:rStyle w:val="Appelnotedebasdep"/>
        </w:rPr>
        <w:footnoteReference w:id="1"/>
      </w:r>
      <w:r>
        <w:t xml:space="preserve">, il doit maintenir son salaire. </w:t>
      </w:r>
    </w:p>
    <w:p w:rsidR="00F96FF4" w:rsidRDefault="00AC7F5C">
      <w:r>
        <w:t>Face à la crise sanitaire, l</w:t>
      </w:r>
      <w:r w:rsidR="00F96FF4">
        <w:t>es pouvoirs publics mettent en place une mesure d’indemnisation exceptionnelle</w:t>
      </w:r>
      <w:r w:rsidR="00DB686E">
        <w:t xml:space="preserve"> </w:t>
      </w:r>
      <w:r w:rsidR="00EB611D">
        <w:t xml:space="preserve">pour les PE concernés par le maintien de salaire </w:t>
      </w:r>
      <w:r w:rsidR="00DB686E">
        <w:t xml:space="preserve">(on parle couramment de </w:t>
      </w:r>
      <w:r w:rsidR="003565A2">
        <w:t>« </w:t>
      </w:r>
      <w:r w:rsidR="00DB686E">
        <w:t>chômage partiel</w:t>
      </w:r>
      <w:r w:rsidR="003565A2">
        <w:t> »</w:t>
      </w:r>
      <w:r w:rsidR="00DB686E">
        <w:t>)</w:t>
      </w:r>
      <w:r w:rsidR="00F96FF4">
        <w:t>.</w:t>
      </w:r>
    </w:p>
    <w:p w:rsidR="00F96FF4" w:rsidRDefault="00F96FF4"/>
    <w:p w:rsidR="00220A49" w:rsidRDefault="00220A49"/>
    <w:p w:rsidR="00220A49" w:rsidRDefault="00220A49">
      <w:bookmarkStart w:id="0" w:name="_GoBack"/>
      <w:bookmarkEnd w:id="0"/>
    </w:p>
    <w:sdt>
      <w:sdtPr>
        <w:rPr>
          <w:rFonts w:ascii="Poppins" w:eastAsiaTheme="minorHAnsi" w:hAnsi="Poppins" w:cs="Arial"/>
          <w:color w:val="auto"/>
          <w:sz w:val="22"/>
          <w:szCs w:val="20"/>
          <w:lang w:eastAsia="en-US"/>
        </w:rPr>
        <w:id w:val="1499464817"/>
        <w:docPartObj>
          <w:docPartGallery w:val="Table of Contents"/>
          <w:docPartUnique/>
        </w:docPartObj>
      </w:sdtPr>
      <w:sdtEndPr>
        <w:rPr>
          <w:b/>
          <w:bCs/>
          <w:sz w:val="24"/>
        </w:rPr>
      </w:sdtEndPr>
      <w:sdtContent>
        <w:p w:rsidR="00AC7F5C" w:rsidRPr="00366BB9" w:rsidRDefault="00AC7F5C">
          <w:pPr>
            <w:pStyle w:val="En-ttedetabledesmatires"/>
            <w:rPr>
              <w:sz w:val="28"/>
            </w:rPr>
          </w:pPr>
          <w:r w:rsidRPr="00366BB9">
            <w:rPr>
              <w:sz w:val="28"/>
            </w:rPr>
            <w:t>Table des matières</w:t>
          </w:r>
        </w:p>
        <w:p w:rsidR="00220A49" w:rsidRDefault="00AC7F5C">
          <w:pPr>
            <w:pStyle w:val="TM1"/>
            <w:rPr>
              <w:rFonts w:asciiTheme="minorHAnsi" w:eastAsiaTheme="minorEastAsia" w:hAnsiTheme="minorHAnsi" w:cstheme="minorBidi"/>
              <w:sz w:val="22"/>
              <w:szCs w:val="22"/>
              <w:lang w:eastAsia="fr-FR"/>
            </w:rPr>
          </w:pPr>
          <w:r w:rsidRPr="00366BB9">
            <w:rPr>
              <w:sz w:val="22"/>
            </w:rPr>
            <w:fldChar w:fldCharType="begin"/>
          </w:r>
          <w:r w:rsidRPr="00366BB9">
            <w:rPr>
              <w:sz w:val="22"/>
            </w:rPr>
            <w:instrText xml:space="preserve"> TOC \o "1-3" \h \z \u </w:instrText>
          </w:r>
          <w:r w:rsidRPr="00366BB9">
            <w:rPr>
              <w:sz w:val="22"/>
            </w:rPr>
            <w:fldChar w:fldCharType="separate"/>
          </w:r>
          <w:hyperlink w:anchor="_Toc36560608" w:history="1">
            <w:r w:rsidR="00220A49" w:rsidRPr="009E24D2">
              <w:rPr>
                <w:rStyle w:val="Lienhypertexte"/>
              </w:rPr>
              <w:t>Qu’est-ce que c’est ?</w:t>
            </w:r>
            <w:r w:rsidR="00220A49">
              <w:rPr>
                <w:webHidden/>
              </w:rPr>
              <w:tab/>
            </w:r>
            <w:r w:rsidR="00220A49">
              <w:rPr>
                <w:webHidden/>
              </w:rPr>
              <w:fldChar w:fldCharType="begin"/>
            </w:r>
            <w:r w:rsidR="00220A49">
              <w:rPr>
                <w:webHidden/>
              </w:rPr>
              <w:instrText xml:space="preserve"> PAGEREF _Toc36560608 \h </w:instrText>
            </w:r>
            <w:r w:rsidR="00220A49">
              <w:rPr>
                <w:webHidden/>
              </w:rPr>
            </w:r>
            <w:r w:rsidR="00220A49">
              <w:rPr>
                <w:webHidden/>
              </w:rPr>
              <w:fldChar w:fldCharType="separate"/>
            </w:r>
            <w:r w:rsidR="00220A49">
              <w:rPr>
                <w:webHidden/>
              </w:rPr>
              <w:t>2</w:t>
            </w:r>
            <w:r w:rsidR="00220A49">
              <w:rPr>
                <w:webHidden/>
              </w:rPr>
              <w:fldChar w:fldCharType="end"/>
            </w:r>
          </w:hyperlink>
        </w:p>
        <w:p w:rsidR="00220A49" w:rsidRDefault="00220A49">
          <w:pPr>
            <w:pStyle w:val="TM1"/>
            <w:rPr>
              <w:rFonts w:asciiTheme="minorHAnsi" w:eastAsiaTheme="minorEastAsia" w:hAnsiTheme="minorHAnsi" w:cstheme="minorBidi"/>
              <w:sz w:val="22"/>
              <w:szCs w:val="22"/>
              <w:lang w:eastAsia="fr-FR"/>
            </w:rPr>
          </w:pPr>
          <w:hyperlink w:anchor="_Toc36560609" w:history="1">
            <w:r w:rsidRPr="009E24D2">
              <w:rPr>
                <w:rStyle w:val="Lienhypertexte"/>
              </w:rPr>
              <w:t>Qui est concerné ?</w:t>
            </w:r>
            <w:r>
              <w:rPr>
                <w:webHidden/>
              </w:rPr>
              <w:tab/>
            </w:r>
            <w:r>
              <w:rPr>
                <w:webHidden/>
              </w:rPr>
              <w:fldChar w:fldCharType="begin"/>
            </w:r>
            <w:r>
              <w:rPr>
                <w:webHidden/>
              </w:rPr>
              <w:instrText xml:space="preserve"> PAGEREF _Toc36560609 \h </w:instrText>
            </w:r>
            <w:r>
              <w:rPr>
                <w:webHidden/>
              </w:rPr>
            </w:r>
            <w:r>
              <w:rPr>
                <w:webHidden/>
              </w:rPr>
              <w:fldChar w:fldCharType="separate"/>
            </w:r>
            <w:r>
              <w:rPr>
                <w:webHidden/>
              </w:rPr>
              <w:t>2</w:t>
            </w:r>
            <w:r>
              <w:rPr>
                <w:webHidden/>
              </w:rPr>
              <w:fldChar w:fldCharType="end"/>
            </w:r>
          </w:hyperlink>
        </w:p>
        <w:p w:rsidR="00220A49" w:rsidRDefault="00220A49">
          <w:pPr>
            <w:pStyle w:val="TM1"/>
            <w:rPr>
              <w:rFonts w:asciiTheme="minorHAnsi" w:eastAsiaTheme="minorEastAsia" w:hAnsiTheme="minorHAnsi" w:cstheme="minorBidi"/>
              <w:sz w:val="22"/>
              <w:szCs w:val="22"/>
              <w:lang w:eastAsia="fr-FR"/>
            </w:rPr>
          </w:pPr>
          <w:hyperlink w:anchor="_Toc36560610" w:history="1">
            <w:r w:rsidRPr="009E24D2">
              <w:rPr>
                <w:rStyle w:val="Lienhypertexte"/>
              </w:rPr>
              <w:t>Quels sont les enjeux pour les particuliers employeurs qui bénéficient de la PCH ?</w:t>
            </w:r>
            <w:r>
              <w:rPr>
                <w:webHidden/>
              </w:rPr>
              <w:tab/>
            </w:r>
            <w:r>
              <w:rPr>
                <w:webHidden/>
              </w:rPr>
              <w:fldChar w:fldCharType="begin"/>
            </w:r>
            <w:r>
              <w:rPr>
                <w:webHidden/>
              </w:rPr>
              <w:instrText xml:space="preserve"> PAGEREF _Toc36560610 \h </w:instrText>
            </w:r>
            <w:r>
              <w:rPr>
                <w:webHidden/>
              </w:rPr>
            </w:r>
            <w:r>
              <w:rPr>
                <w:webHidden/>
              </w:rPr>
              <w:fldChar w:fldCharType="separate"/>
            </w:r>
            <w:r>
              <w:rPr>
                <w:webHidden/>
              </w:rPr>
              <w:t>3</w:t>
            </w:r>
            <w:r>
              <w:rPr>
                <w:webHidden/>
              </w:rPr>
              <w:fldChar w:fldCharType="end"/>
            </w:r>
          </w:hyperlink>
        </w:p>
        <w:p w:rsidR="00220A49" w:rsidRDefault="00220A49">
          <w:pPr>
            <w:pStyle w:val="TM1"/>
            <w:rPr>
              <w:rFonts w:asciiTheme="minorHAnsi" w:eastAsiaTheme="minorEastAsia" w:hAnsiTheme="minorHAnsi" w:cstheme="minorBidi"/>
              <w:sz w:val="22"/>
              <w:szCs w:val="22"/>
              <w:lang w:eastAsia="fr-FR"/>
            </w:rPr>
          </w:pPr>
          <w:hyperlink w:anchor="_Toc36560611" w:history="1">
            <w:r w:rsidRPr="009E24D2">
              <w:rPr>
                <w:rStyle w:val="Lienhypertexte"/>
              </w:rPr>
              <w:t>ANNEXE 1 : Analyse technique du dispositif d’indemnisation exceptionnelle et comparaison avec le financement PCH</w:t>
            </w:r>
            <w:r>
              <w:rPr>
                <w:webHidden/>
              </w:rPr>
              <w:tab/>
            </w:r>
            <w:r>
              <w:rPr>
                <w:webHidden/>
              </w:rPr>
              <w:fldChar w:fldCharType="begin"/>
            </w:r>
            <w:r>
              <w:rPr>
                <w:webHidden/>
              </w:rPr>
              <w:instrText xml:space="preserve"> PAGEREF _Toc36560611 \h </w:instrText>
            </w:r>
            <w:r>
              <w:rPr>
                <w:webHidden/>
              </w:rPr>
            </w:r>
            <w:r>
              <w:rPr>
                <w:webHidden/>
              </w:rPr>
              <w:fldChar w:fldCharType="separate"/>
            </w:r>
            <w:r>
              <w:rPr>
                <w:webHidden/>
              </w:rPr>
              <w:t>5</w:t>
            </w:r>
            <w:r>
              <w:rPr>
                <w:webHidden/>
              </w:rPr>
              <w:fldChar w:fldCharType="end"/>
            </w:r>
          </w:hyperlink>
        </w:p>
        <w:p w:rsidR="00220A49" w:rsidRDefault="00220A49">
          <w:pPr>
            <w:pStyle w:val="TM2"/>
            <w:tabs>
              <w:tab w:val="right" w:leader="dot" w:pos="9062"/>
            </w:tabs>
            <w:rPr>
              <w:rFonts w:asciiTheme="minorHAnsi" w:eastAsiaTheme="minorEastAsia" w:hAnsiTheme="minorHAnsi" w:cstheme="minorBidi"/>
              <w:noProof/>
              <w:sz w:val="22"/>
              <w:szCs w:val="22"/>
              <w:lang w:eastAsia="fr-FR"/>
            </w:rPr>
          </w:pPr>
          <w:hyperlink w:anchor="_Toc36560612" w:history="1">
            <w:r w:rsidRPr="009E24D2">
              <w:rPr>
                <w:rStyle w:val="Lienhypertexte"/>
                <w:noProof/>
              </w:rPr>
              <w:t>Comparaison</w:t>
            </w:r>
            <w:r>
              <w:rPr>
                <w:noProof/>
                <w:webHidden/>
              </w:rPr>
              <w:tab/>
            </w:r>
            <w:r>
              <w:rPr>
                <w:noProof/>
                <w:webHidden/>
              </w:rPr>
              <w:fldChar w:fldCharType="begin"/>
            </w:r>
            <w:r>
              <w:rPr>
                <w:noProof/>
                <w:webHidden/>
              </w:rPr>
              <w:instrText xml:space="preserve"> PAGEREF _Toc36560612 \h </w:instrText>
            </w:r>
            <w:r>
              <w:rPr>
                <w:noProof/>
                <w:webHidden/>
              </w:rPr>
            </w:r>
            <w:r>
              <w:rPr>
                <w:noProof/>
                <w:webHidden/>
              </w:rPr>
              <w:fldChar w:fldCharType="separate"/>
            </w:r>
            <w:r>
              <w:rPr>
                <w:noProof/>
                <w:webHidden/>
              </w:rPr>
              <w:t>5</w:t>
            </w:r>
            <w:r>
              <w:rPr>
                <w:noProof/>
                <w:webHidden/>
              </w:rPr>
              <w:fldChar w:fldCharType="end"/>
            </w:r>
          </w:hyperlink>
        </w:p>
        <w:p w:rsidR="00220A49" w:rsidRDefault="00220A49">
          <w:pPr>
            <w:pStyle w:val="TM2"/>
            <w:tabs>
              <w:tab w:val="right" w:leader="dot" w:pos="9062"/>
            </w:tabs>
            <w:rPr>
              <w:rFonts w:asciiTheme="minorHAnsi" w:eastAsiaTheme="minorEastAsia" w:hAnsiTheme="minorHAnsi" w:cstheme="minorBidi"/>
              <w:noProof/>
              <w:sz w:val="22"/>
              <w:szCs w:val="22"/>
              <w:lang w:eastAsia="fr-FR"/>
            </w:rPr>
          </w:pPr>
          <w:hyperlink w:anchor="_Toc36560613" w:history="1">
            <w:r w:rsidRPr="009E24D2">
              <w:rPr>
                <w:rStyle w:val="Lienhypertexte"/>
                <w:noProof/>
              </w:rPr>
              <w:t>Point de vue du PE</w:t>
            </w:r>
            <w:r>
              <w:rPr>
                <w:noProof/>
                <w:webHidden/>
              </w:rPr>
              <w:tab/>
            </w:r>
            <w:r>
              <w:rPr>
                <w:noProof/>
                <w:webHidden/>
              </w:rPr>
              <w:fldChar w:fldCharType="begin"/>
            </w:r>
            <w:r>
              <w:rPr>
                <w:noProof/>
                <w:webHidden/>
              </w:rPr>
              <w:instrText xml:space="preserve"> PAGEREF _Toc36560613 \h </w:instrText>
            </w:r>
            <w:r>
              <w:rPr>
                <w:noProof/>
                <w:webHidden/>
              </w:rPr>
            </w:r>
            <w:r>
              <w:rPr>
                <w:noProof/>
                <w:webHidden/>
              </w:rPr>
              <w:fldChar w:fldCharType="separate"/>
            </w:r>
            <w:r>
              <w:rPr>
                <w:noProof/>
                <w:webHidden/>
              </w:rPr>
              <w:t>6</w:t>
            </w:r>
            <w:r>
              <w:rPr>
                <w:noProof/>
                <w:webHidden/>
              </w:rPr>
              <w:fldChar w:fldCharType="end"/>
            </w:r>
          </w:hyperlink>
        </w:p>
        <w:p w:rsidR="00220A49" w:rsidRDefault="00220A49">
          <w:pPr>
            <w:pStyle w:val="TM2"/>
            <w:tabs>
              <w:tab w:val="right" w:leader="dot" w:pos="9062"/>
            </w:tabs>
            <w:rPr>
              <w:rFonts w:asciiTheme="minorHAnsi" w:eastAsiaTheme="minorEastAsia" w:hAnsiTheme="minorHAnsi" w:cstheme="minorBidi"/>
              <w:noProof/>
              <w:sz w:val="22"/>
              <w:szCs w:val="22"/>
              <w:lang w:eastAsia="fr-FR"/>
            </w:rPr>
          </w:pPr>
          <w:hyperlink w:anchor="_Toc36560614" w:history="1">
            <w:r w:rsidRPr="009E24D2">
              <w:rPr>
                <w:rStyle w:val="Lienhypertexte"/>
                <w:noProof/>
              </w:rPr>
              <w:t>Point de vue du salarié</w:t>
            </w:r>
            <w:r>
              <w:rPr>
                <w:noProof/>
                <w:webHidden/>
              </w:rPr>
              <w:tab/>
            </w:r>
            <w:r>
              <w:rPr>
                <w:noProof/>
                <w:webHidden/>
              </w:rPr>
              <w:fldChar w:fldCharType="begin"/>
            </w:r>
            <w:r>
              <w:rPr>
                <w:noProof/>
                <w:webHidden/>
              </w:rPr>
              <w:instrText xml:space="preserve"> PAGEREF _Toc36560614 \h </w:instrText>
            </w:r>
            <w:r>
              <w:rPr>
                <w:noProof/>
                <w:webHidden/>
              </w:rPr>
            </w:r>
            <w:r>
              <w:rPr>
                <w:noProof/>
                <w:webHidden/>
              </w:rPr>
              <w:fldChar w:fldCharType="separate"/>
            </w:r>
            <w:r>
              <w:rPr>
                <w:noProof/>
                <w:webHidden/>
              </w:rPr>
              <w:t>7</w:t>
            </w:r>
            <w:r>
              <w:rPr>
                <w:noProof/>
                <w:webHidden/>
              </w:rPr>
              <w:fldChar w:fldCharType="end"/>
            </w:r>
          </w:hyperlink>
        </w:p>
        <w:p w:rsidR="00220A49" w:rsidRDefault="00220A49">
          <w:pPr>
            <w:pStyle w:val="TM2"/>
            <w:tabs>
              <w:tab w:val="right" w:leader="dot" w:pos="9062"/>
            </w:tabs>
            <w:rPr>
              <w:rFonts w:asciiTheme="minorHAnsi" w:eastAsiaTheme="minorEastAsia" w:hAnsiTheme="minorHAnsi" w:cstheme="minorBidi"/>
              <w:noProof/>
              <w:sz w:val="22"/>
              <w:szCs w:val="22"/>
              <w:lang w:eastAsia="fr-FR"/>
            </w:rPr>
          </w:pPr>
          <w:hyperlink w:anchor="_Toc36560615" w:history="1">
            <w:r w:rsidRPr="009E24D2">
              <w:rPr>
                <w:rStyle w:val="Lienhypertexte"/>
                <w:noProof/>
              </w:rPr>
              <w:t>Point de vue de la mission mandataire</w:t>
            </w:r>
            <w:r>
              <w:rPr>
                <w:noProof/>
                <w:webHidden/>
              </w:rPr>
              <w:tab/>
            </w:r>
            <w:r>
              <w:rPr>
                <w:noProof/>
                <w:webHidden/>
              </w:rPr>
              <w:fldChar w:fldCharType="begin"/>
            </w:r>
            <w:r>
              <w:rPr>
                <w:noProof/>
                <w:webHidden/>
              </w:rPr>
              <w:instrText xml:space="preserve"> PAGEREF _Toc36560615 \h </w:instrText>
            </w:r>
            <w:r>
              <w:rPr>
                <w:noProof/>
                <w:webHidden/>
              </w:rPr>
            </w:r>
            <w:r>
              <w:rPr>
                <w:noProof/>
                <w:webHidden/>
              </w:rPr>
              <w:fldChar w:fldCharType="separate"/>
            </w:r>
            <w:r>
              <w:rPr>
                <w:noProof/>
                <w:webHidden/>
              </w:rPr>
              <w:t>8</w:t>
            </w:r>
            <w:r>
              <w:rPr>
                <w:noProof/>
                <w:webHidden/>
              </w:rPr>
              <w:fldChar w:fldCharType="end"/>
            </w:r>
          </w:hyperlink>
        </w:p>
        <w:p w:rsidR="00AC7F5C" w:rsidRDefault="00AC7F5C">
          <w:r w:rsidRPr="00366BB9">
            <w:rPr>
              <w:b/>
              <w:bCs/>
              <w:sz w:val="22"/>
            </w:rPr>
            <w:fldChar w:fldCharType="end"/>
          </w:r>
        </w:p>
      </w:sdtContent>
    </w:sdt>
    <w:p w:rsidR="00F634C0" w:rsidRDefault="00F634C0" w:rsidP="00F634C0">
      <w:pPr>
        <w:pStyle w:val="Titre1"/>
      </w:pPr>
      <w:bookmarkStart w:id="1" w:name="_Toc36560608"/>
      <w:r>
        <w:lastRenderedPageBreak/>
        <w:t>Qu’est-ce que c’est ?</w:t>
      </w:r>
      <w:bookmarkEnd w:id="1"/>
    </w:p>
    <w:p w:rsidR="00F722EF" w:rsidRDefault="00167FF0" w:rsidP="00167FF0">
      <w:r>
        <w:t xml:space="preserve">L’indemnisation exceptionnelle </w:t>
      </w:r>
      <w:r w:rsidR="00F634C0">
        <w:t xml:space="preserve">est une aide financière versée par l’Etat pour permettre aux </w:t>
      </w:r>
      <w:r w:rsidR="00D940CD">
        <w:t>PE</w:t>
      </w:r>
      <w:r w:rsidR="00F634C0">
        <w:t xml:space="preserve"> de maintenir le versement du salaire </w:t>
      </w:r>
      <w:r w:rsidR="00F722EF">
        <w:t>lorsque</w:t>
      </w:r>
      <w:r w:rsidR="00F634C0">
        <w:t xml:space="preserve"> leurs salariés n’ont pas </w:t>
      </w:r>
      <w:r w:rsidR="00F722EF">
        <w:t>travaillé</w:t>
      </w:r>
      <w:r w:rsidR="003565A2">
        <w:rPr>
          <w:rStyle w:val="Appelnotedebasdep"/>
        </w:rPr>
        <w:footnoteReference w:id="2"/>
      </w:r>
      <w:r w:rsidR="00F634C0">
        <w:t xml:space="preserve">. </w:t>
      </w:r>
    </w:p>
    <w:p w:rsidR="00F722EF" w:rsidRDefault="00F722EF" w:rsidP="00167FF0"/>
    <w:p w:rsidR="00F634C0" w:rsidRDefault="003565A2" w:rsidP="00167FF0">
      <w:r>
        <w:t xml:space="preserve">C’est </w:t>
      </w:r>
      <w:r w:rsidR="00F722EF">
        <w:t xml:space="preserve">donc </w:t>
      </w:r>
      <w:r>
        <w:t xml:space="preserve">un dispositif singulier qui vise à accompagner les PE </w:t>
      </w:r>
      <w:r w:rsidR="00F722EF">
        <w:t>qui</w:t>
      </w:r>
      <w:r w:rsidR="00F722EF" w:rsidRPr="00F722EF">
        <w:t xml:space="preserve"> ne peuvent pas assumer le coût des heures non effectuées</w:t>
      </w:r>
      <w:r>
        <w:t>.</w:t>
      </w:r>
      <w:r w:rsidR="00F722EF">
        <w:t xml:space="preserve"> Par ricochet, il apporte une sécurité financière pour les salariés qui pouvaient craindre de ne pas être payés.</w:t>
      </w:r>
    </w:p>
    <w:p w:rsidR="00F634C0" w:rsidRDefault="00F634C0" w:rsidP="00167FF0"/>
    <w:p w:rsidR="00F722EF" w:rsidRDefault="00F722EF" w:rsidP="00167FF0"/>
    <w:p w:rsidR="00F634C0" w:rsidRDefault="00F634C0" w:rsidP="00F634C0">
      <w:pPr>
        <w:pStyle w:val="Titre1"/>
      </w:pPr>
      <w:bookmarkStart w:id="2" w:name="_Toc36560609"/>
      <w:r>
        <w:t>Qui est concerné ?</w:t>
      </w:r>
      <w:bookmarkEnd w:id="2"/>
    </w:p>
    <w:p w:rsidR="00F634C0" w:rsidRDefault="00F722EF" w:rsidP="00167FF0">
      <w:r>
        <w:t>L’indemnisation exceptionnelle</w:t>
      </w:r>
      <w:r w:rsidR="00F634C0">
        <w:t xml:space="preserve"> </w:t>
      </w:r>
      <w:r w:rsidR="00167FF0">
        <w:t xml:space="preserve">s’adresse </w:t>
      </w:r>
      <w:r w:rsidR="003565A2">
        <w:t>particulièrement</w:t>
      </w:r>
      <w:r w:rsidR="00167FF0">
        <w:t xml:space="preserve"> aux </w:t>
      </w:r>
      <w:r w:rsidR="00D940CD">
        <w:t>PE</w:t>
      </w:r>
      <w:r w:rsidR="00167FF0">
        <w:t xml:space="preserve"> qui financent l’emploi direct sur leurs fonds propres</w:t>
      </w:r>
      <w:r>
        <w:t>, à partir de leurs ressources personnelles</w:t>
      </w:r>
      <w:r w:rsidR="00167FF0">
        <w:t xml:space="preserve"> (aide-ménagère de « confort », cours de soutien scolaire, jardinier…). </w:t>
      </w:r>
    </w:p>
    <w:p w:rsidR="00F722EF" w:rsidRDefault="00F722EF" w:rsidP="00167FF0"/>
    <w:p w:rsidR="00167FF0" w:rsidRDefault="00167FF0" w:rsidP="00167FF0">
      <w:r>
        <w:t xml:space="preserve">Les particuliers employeurs en situation de handicap </w:t>
      </w:r>
      <w:r w:rsidR="00D940CD">
        <w:t xml:space="preserve">(PESH) </w:t>
      </w:r>
      <w:r>
        <w:t xml:space="preserve">étant en majorité </w:t>
      </w:r>
      <w:proofErr w:type="spellStart"/>
      <w:r>
        <w:t>solvabilisés</w:t>
      </w:r>
      <w:proofErr w:type="spellEnd"/>
      <w:r>
        <w:t xml:space="preserve"> par la PCH, l’indemnisation exceptionnelle n’est pas indispensable pour eux.</w:t>
      </w:r>
    </w:p>
    <w:p w:rsidR="00C8755A" w:rsidRDefault="00C8755A" w:rsidP="00167FF0">
      <w:r>
        <w:t xml:space="preserve">Pour les PESH, il est essentiel de s’interroger sur les enjeux de ce dispositif exceptionnel pour qu’ils décident de façon éclairée d’y recourir ou pas. </w:t>
      </w:r>
    </w:p>
    <w:p w:rsidR="00F634C0" w:rsidRDefault="00F634C0" w:rsidP="00167FF0"/>
    <w:p w:rsidR="00F722EF" w:rsidRDefault="00F722EF" w:rsidP="00167FF0"/>
    <w:p w:rsidR="00F722EF" w:rsidRDefault="00F722EF">
      <w:pPr>
        <w:spacing w:after="160" w:line="259" w:lineRule="auto"/>
        <w:jc w:val="left"/>
        <w:rPr>
          <w:rFonts w:ascii="Poppins SemiBold" w:eastAsiaTheme="majorEastAsia" w:hAnsi="Poppins SemiBold" w:cstheme="majorBidi"/>
          <w:color w:val="00536B"/>
          <w:sz w:val="28"/>
          <w:szCs w:val="32"/>
        </w:rPr>
      </w:pPr>
      <w:r>
        <w:br w:type="page"/>
      </w:r>
    </w:p>
    <w:p w:rsidR="00F634C0" w:rsidRDefault="00F634C0" w:rsidP="00F634C0">
      <w:pPr>
        <w:pStyle w:val="Titre1"/>
      </w:pPr>
      <w:bookmarkStart w:id="3" w:name="_Toc36560610"/>
      <w:r>
        <w:lastRenderedPageBreak/>
        <w:t>Quels sont les enjeux pour les particuliers employeurs qui bénéficient de la PCH ?</w:t>
      </w:r>
      <w:bookmarkEnd w:id="3"/>
    </w:p>
    <w:p w:rsidR="00167FF0" w:rsidRDefault="000B7215" w:rsidP="00167FF0">
      <w:r>
        <w:t>De manière générale, l</w:t>
      </w:r>
      <w:r w:rsidR="00167FF0">
        <w:t>’indemnisation exceptionnelle peut mettre en difficulté</w:t>
      </w:r>
      <w:r w:rsidR="00D940CD">
        <w:t xml:space="preserve"> les PESH</w:t>
      </w:r>
      <w:r w:rsidR="00167FF0">
        <w:t>, à plusieurs niveaux :</w:t>
      </w:r>
    </w:p>
    <w:p w:rsidR="00F634C0" w:rsidRDefault="00F634C0" w:rsidP="00167FF0"/>
    <w:p w:rsidR="00167FF0" w:rsidRPr="004A286A" w:rsidRDefault="00167FF0" w:rsidP="00167FF0">
      <w:pPr>
        <w:pStyle w:val="Paragraphedeliste"/>
        <w:numPr>
          <w:ilvl w:val="0"/>
          <w:numId w:val="2"/>
        </w:numPr>
        <w:rPr>
          <w:rFonts w:ascii="Poppins SemiBold" w:hAnsi="Poppins SemiBold" w:cs="Poppins SemiBold"/>
        </w:rPr>
      </w:pPr>
      <w:r w:rsidRPr="004A286A">
        <w:rPr>
          <w:rFonts w:ascii="Poppins SemiBold" w:hAnsi="Poppins SemiBold" w:cs="Poppins SemiBold"/>
        </w:rPr>
        <w:t xml:space="preserve">Financier : </w:t>
      </w:r>
    </w:p>
    <w:p w:rsidR="00F634C0" w:rsidRDefault="00167FF0" w:rsidP="00167FF0">
      <w:pPr>
        <w:pStyle w:val="Paragraphedeliste"/>
        <w:numPr>
          <w:ilvl w:val="1"/>
          <w:numId w:val="2"/>
        </w:numPr>
      </w:pPr>
      <w:r>
        <w:t xml:space="preserve">Cette indemnisation est partielle (80% </w:t>
      </w:r>
      <w:r w:rsidR="00F722EF">
        <w:t>des heures non effectuées</w:t>
      </w:r>
      <w:r>
        <w:t xml:space="preserve">) : elle peut donc générer un reste à charge pour le </w:t>
      </w:r>
      <w:r w:rsidR="00D940CD">
        <w:t>PE</w:t>
      </w:r>
      <w:r>
        <w:t xml:space="preserve"> qui</w:t>
      </w:r>
      <w:r w:rsidR="00D940CD">
        <w:t>,</w:t>
      </w:r>
      <w:r>
        <w:t xml:space="preserve"> comme le préconise le CESU</w:t>
      </w:r>
      <w:r w:rsidR="00D940CD">
        <w:t>,</w:t>
      </w:r>
      <w:r>
        <w:t xml:space="preserve"> « </w:t>
      </w:r>
      <w:r w:rsidRPr="00F634C0">
        <w:rPr>
          <w:i/>
        </w:rPr>
        <w:t>déclare et paye l’intégralité des heures réellement réalisées par son salarié pour la déclaration au titre de la période d’emploi de mars</w:t>
      </w:r>
      <w:r>
        <w:t xml:space="preserve"> ». </w:t>
      </w:r>
    </w:p>
    <w:p w:rsidR="00167FF0" w:rsidRDefault="00167FF0" w:rsidP="00F634C0">
      <w:pPr>
        <w:pStyle w:val="Paragraphedeliste"/>
        <w:ind w:left="1440"/>
      </w:pPr>
      <w:r>
        <w:t xml:space="preserve">Les 20% restant, qui ne sont pas éligibles au crédit d’impôt, seront à sa charge alors que la PCH finance la totalité du salaire. </w:t>
      </w:r>
    </w:p>
    <w:p w:rsidR="00167FF0" w:rsidRDefault="00167FF0" w:rsidP="00167FF0">
      <w:pPr>
        <w:pStyle w:val="Paragraphedeliste"/>
        <w:numPr>
          <w:ilvl w:val="1"/>
          <w:numId w:val="2"/>
        </w:numPr>
      </w:pPr>
      <w:r>
        <w:t>Les délais du versement de cette indemnisation ne sont pas</w:t>
      </w:r>
      <w:r w:rsidR="00C8755A">
        <w:t xml:space="preserve"> encore</w:t>
      </w:r>
      <w:r>
        <w:t xml:space="preserve"> précisés : le </w:t>
      </w:r>
      <w:r w:rsidR="00D940CD">
        <w:t>PE</w:t>
      </w:r>
      <w:r>
        <w:t xml:space="preserve"> devra avancer les sommes sans savoir quand il sera remboursé. Dans le cadre de la PCH, il n’a pas à avancer les sommes (cf. loi 06/03/20).</w:t>
      </w:r>
    </w:p>
    <w:p w:rsidR="00D940CD" w:rsidRDefault="00D940CD">
      <w:pPr>
        <w:spacing w:after="160" w:line="259" w:lineRule="auto"/>
        <w:jc w:val="left"/>
      </w:pPr>
    </w:p>
    <w:p w:rsidR="00167FF0" w:rsidRDefault="00167FF0" w:rsidP="00167FF0">
      <w:pPr>
        <w:pStyle w:val="Paragraphedeliste"/>
        <w:numPr>
          <w:ilvl w:val="0"/>
          <w:numId w:val="2"/>
        </w:numPr>
      </w:pPr>
      <w:r w:rsidRPr="004A286A">
        <w:rPr>
          <w:rFonts w:ascii="Poppins SemiBold" w:hAnsi="Poppins SemiBold" w:cs="Poppins SemiBold"/>
        </w:rPr>
        <w:t>Organisation</w:t>
      </w:r>
      <w:r>
        <w:t xml:space="preserve"> :</w:t>
      </w:r>
    </w:p>
    <w:p w:rsidR="00D940CD" w:rsidRDefault="00167FF0" w:rsidP="00D940CD">
      <w:pPr>
        <w:pStyle w:val="Paragraphedeliste"/>
        <w:numPr>
          <w:ilvl w:val="1"/>
          <w:numId w:val="2"/>
        </w:numPr>
      </w:pPr>
      <w:r>
        <w:t>Dans le cadre de l’emploi direct, les heures peuvent être annualisées</w:t>
      </w:r>
      <w:r w:rsidR="00D940CD">
        <w:rPr>
          <w:rStyle w:val="Appelnotedebasdep"/>
        </w:rPr>
        <w:footnoteReference w:id="3"/>
      </w:r>
      <w:r>
        <w:t>. Il faut donc distinguer les heures réalisées des he</w:t>
      </w:r>
      <w:r w:rsidR="00D940CD">
        <w:t>ures payées (mensualisées). Le PE</w:t>
      </w:r>
      <w:r>
        <w:t xml:space="preserve"> peut donc </w:t>
      </w:r>
      <w:r w:rsidR="00D940CD">
        <w:t xml:space="preserve">rémunérer </w:t>
      </w:r>
      <w:r>
        <w:t>des heures non réalisées sur le mois de mars. Ces heures seront effectuées par la suite et il en aura probablement besoin pour compenser les absences. Cela n’est pas incompatible avec la PCH quand le contrôle des CD n’est pas restrictif.</w:t>
      </w:r>
      <w:r w:rsidR="00D534FB">
        <w:t xml:space="preserve"> Dans ce contexte, le PE n’a pas besoin de recourir à l’indemnisation exceptionnelle.</w:t>
      </w:r>
    </w:p>
    <w:p w:rsidR="00D940CD" w:rsidRDefault="007E7180" w:rsidP="00D940CD">
      <w:pPr>
        <w:pStyle w:val="Paragraphedeliste"/>
        <w:numPr>
          <w:ilvl w:val="1"/>
          <w:numId w:val="2"/>
        </w:numPr>
      </w:pPr>
      <w:r>
        <w:t xml:space="preserve">Face au risque de contamination, le PE peut souhaiter limiter temporairement le nombre de salariés qui viennent travailler à son domicile. Il peut alors </w:t>
      </w:r>
      <w:r w:rsidR="00D534FB">
        <w:t xml:space="preserve">changer l’organisation de son équipe : </w:t>
      </w:r>
      <w:r>
        <w:t>mobilis</w:t>
      </w:r>
      <w:r w:rsidR="00D534FB">
        <w:t>er</w:t>
      </w:r>
      <w:r>
        <w:t xml:space="preserve"> </w:t>
      </w:r>
      <w:r w:rsidR="00D534FB">
        <w:t>moins</w:t>
      </w:r>
      <w:r>
        <w:t xml:space="preserve"> de salariés sur des temps longs (financement </w:t>
      </w:r>
      <w:r>
        <w:lastRenderedPageBreak/>
        <w:t>PCH</w:t>
      </w:r>
      <w:r w:rsidR="00D534FB">
        <w:t xml:space="preserve"> habituel</w:t>
      </w:r>
      <w:r>
        <w:t xml:space="preserve">) et </w:t>
      </w:r>
      <w:r w:rsidR="00D534FB">
        <w:t>recourir au</w:t>
      </w:r>
      <w:r w:rsidR="00D940CD" w:rsidRPr="00D940CD">
        <w:t xml:space="preserve"> </w:t>
      </w:r>
      <w:r>
        <w:t>« </w:t>
      </w:r>
      <w:r w:rsidR="00D940CD" w:rsidRPr="00D940CD">
        <w:t>chômage partiel</w:t>
      </w:r>
      <w:r>
        <w:t> »</w:t>
      </w:r>
      <w:r w:rsidR="00D940CD" w:rsidRPr="00D940CD">
        <w:t xml:space="preserve"> </w:t>
      </w:r>
      <w:r>
        <w:t>pour les salariés qui ne travaillent pas</w:t>
      </w:r>
      <w:r w:rsidR="00D534FB">
        <w:t xml:space="preserve"> (indemnisation exceptionnelle)</w:t>
      </w:r>
      <w:r w:rsidR="00D940CD" w:rsidRPr="00D940CD">
        <w:t>.</w:t>
      </w:r>
      <w:r>
        <w:t xml:space="preserve"> Dans ce cas, l’indemnisation exceptionnelle vient en complément financier de la PCH</w:t>
      </w:r>
      <w:r>
        <w:rPr>
          <w:rStyle w:val="Appelnotedebasdep"/>
        </w:rPr>
        <w:footnoteReference w:id="4"/>
      </w:r>
      <w:r>
        <w:t>.</w:t>
      </w:r>
    </w:p>
    <w:p w:rsidR="000B7215" w:rsidRDefault="000B7215" w:rsidP="000B7215"/>
    <w:p w:rsidR="00167FF0" w:rsidRPr="004A286A" w:rsidRDefault="00167FF0" w:rsidP="00167FF0">
      <w:pPr>
        <w:pStyle w:val="Paragraphedeliste"/>
        <w:numPr>
          <w:ilvl w:val="0"/>
          <w:numId w:val="3"/>
        </w:numPr>
        <w:rPr>
          <w:rFonts w:ascii="Poppins SemiBold" w:hAnsi="Poppins SemiBold" w:cs="Poppins SemiBold"/>
        </w:rPr>
      </w:pPr>
      <w:r w:rsidRPr="004A286A">
        <w:rPr>
          <w:rFonts w:ascii="Poppins SemiBold" w:hAnsi="Poppins SemiBold" w:cs="Poppins SemiBold"/>
        </w:rPr>
        <w:t xml:space="preserve">Relation employeur/salarié : </w:t>
      </w:r>
    </w:p>
    <w:p w:rsidR="00167FF0" w:rsidRDefault="007E7180" w:rsidP="00167FF0">
      <w:pPr>
        <w:pStyle w:val="Paragraphedeliste"/>
        <w:numPr>
          <w:ilvl w:val="1"/>
          <w:numId w:val="3"/>
        </w:numPr>
      </w:pPr>
      <w:r>
        <w:t>Si</w:t>
      </w:r>
      <w:r w:rsidR="00167FF0">
        <w:t xml:space="preserve"> le PE ne verse pas les 20% de salaire restant au salarié, cela peut dégrader les relations et mener à des conflits qui peuvent aller jusqu’au Prud’hommes. </w:t>
      </w:r>
      <w:r w:rsidR="00C8755A">
        <w:t>Ce risque est très probable dans les situations où c’est le PE qui a demandé au salarié de ne pas venir travailler car le maintien intégral du salaire est obligatoire.</w:t>
      </w:r>
    </w:p>
    <w:p w:rsidR="00167FF0" w:rsidRDefault="007E7180" w:rsidP="00167FF0">
      <w:pPr>
        <w:pStyle w:val="Paragraphedeliste"/>
        <w:numPr>
          <w:ilvl w:val="1"/>
          <w:numId w:val="3"/>
        </w:numPr>
      </w:pPr>
      <w:r>
        <w:t>L’indemnisation</w:t>
      </w:r>
      <w:r w:rsidR="00167FF0">
        <w:t xml:space="preserve"> exceptionnelle se limite au salaire net : comme elle n’est pas soumise à cotisations sociales, le salarié n’acquiert aucun droit (retraite, chômage, formation pro…) et peut se sentir lésé</w:t>
      </w:r>
      <w:r w:rsidR="00C8755A">
        <w:t>, d’autant plus que le salaire perçu restera soumis à l’impôt sur le revenu.</w:t>
      </w:r>
    </w:p>
    <w:p w:rsidR="007E7180" w:rsidRDefault="007E7180" w:rsidP="007E7180"/>
    <w:p w:rsidR="00167FF0" w:rsidRPr="004A286A" w:rsidRDefault="00167FF0" w:rsidP="00167FF0">
      <w:pPr>
        <w:pStyle w:val="Paragraphedeliste"/>
        <w:numPr>
          <w:ilvl w:val="0"/>
          <w:numId w:val="3"/>
        </w:numPr>
        <w:rPr>
          <w:rFonts w:ascii="Poppins SemiBold" w:hAnsi="Poppins SemiBold" w:cs="Poppins SemiBold"/>
        </w:rPr>
      </w:pPr>
      <w:r w:rsidRPr="004A286A">
        <w:rPr>
          <w:rFonts w:ascii="Poppins SemiBold" w:hAnsi="Poppins SemiBold" w:cs="Poppins SemiBold"/>
        </w:rPr>
        <w:t xml:space="preserve">Anxiété : </w:t>
      </w:r>
    </w:p>
    <w:p w:rsidR="00167FF0" w:rsidRDefault="00167FF0" w:rsidP="00167FF0">
      <w:pPr>
        <w:pStyle w:val="Paragraphedeliste"/>
        <w:numPr>
          <w:ilvl w:val="1"/>
          <w:numId w:val="3"/>
        </w:numPr>
      </w:pPr>
      <w:r>
        <w:t>Dans un contexte de crise sanitaire déjà très anxiogène pour les personnes handicapées, ce dispositif exceptionnel est complexe à mettre en œuvre (double déclaration CESU, formulaire spécifique</w:t>
      </w:r>
      <w:r w:rsidR="00C8755A">
        <w:t>, contrôle a posteriori</w:t>
      </w:r>
      <w:r>
        <w:t>…) et peut générer de l’inquiétude ou des erreurs de la part des PESH. Est-il opportun de se lancer à l’aveugle dans ce dispositif méconnu alors que la PCH permet déjà de financer l’aide humaine ?</w:t>
      </w:r>
    </w:p>
    <w:p w:rsidR="00167FF0" w:rsidRDefault="00167FF0" w:rsidP="00167FF0"/>
    <w:p w:rsidR="00167FF0" w:rsidRDefault="00167FF0" w:rsidP="00167FF0">
      <w:pPr>
        <w:rPr>
          <w:rFonts w:ascii="Poppins SemiBold" w:eastAsiaTheme="majorEastAsia" w:hAnsi="Poppins SemiBold" w:cstheme="majorBidi"/>
          <w:color w:val="00536B"/>
          <w:sz w:val="28"/>
          <w:szCs w:val="32"/>
        </w:rPr>
      </w:pPr>
      <w:r>
        <w:t>La mission mandataire a élaboré une analyse technique (</w:t>
      </w:r>
      <w:r w:rsidR="007E7180">
        <w:t xml:space="preserve">cf. </w:t>
      </w:r>
      <w:r w:rsidR="00E202EE">
        <w:t>ci-dessous</w:t>
      </w:r>
      <w:r>
        <w:t xml:space="preserve">) du dispositif d’indemnisation exceptionnelle et de celui de la PCH en croisant </w:t>
      </w:r>
      <w:r w:rsidR="00220A49">
        <w:t>plusieurs lectures (PE, salarié</w:t>
      </w:r>
      <w:r>
        <w:t xml:space="preserve">). Elle note que </w:t>
      </w:r>
      <w:r w:rsidRPr="00E202EE">
        <w:rPr>
          <w:rFonts w:ascii="Poppins SemiBold" w:hAnsi="Poppins SemiBold" w:cs="Poppins SemiBold"/>
        </w:rPr>
        <w:t>l’indemnisation exceptionnelle présente de nombreux inconvénients qui n’existent pas dans le cadre de la PCH</w:t>
      </w:r>
      <w:r>
        <w:t xml:space="preserve"> qui est plus avantageux. En conclusion, la mission mandataire déconseille de recourir à l’indemnisation exceptionnelle</w:t>
      </w:r>
      <w:r w:rsidR="00E202EE">
        <w:t>, sauf en complément du financement PCH pour couvrir d’éventuels restes à charge</w:t>
      </w:r>
      <w:r>
        <w:t>.</w:t>
      </w:r>
      <w:r>
        <w:br w:type="page"/>
      </w:r>
    </w:p>
    <w:p w:rsidR="00167FF0" w:rsidRDefault="00E202EE" w:rsidP="004A286A">
      <w:pPr>
        <w:pStyle w:val="Titre1"/>
      </w:pPr>
      <w:bookmarkStart w:id="4" w:name="_Toc36560611"/>
      <w:r>
        <w:lastRenderedPageBreak/>
        <w:t>ANNEXE</w:t>
      </w:r>
      <w:r w:rsidR="00611D31">
        <w:t xml:space="preserve"> 1 : </w:t>
      </w:r>
      <w:r w:rsidR="00167FF0">
        <w:t>Analyse technique du dispositif d’indemnisation exceptionnelle et comparaison avec le financement PCH</w:t>
      </w:r>
      <w:bookmarkEnd w:id="4"/>
    </w:p>
    <w:p w:rsidR="00167FF0" w:rsidRDefault="00167FF0" w:rsidP="00167FF0"/>
    <w:p w:rsidR="00167FF0" w:rsidRDefault="00167FF0" w:rsidP="00167FF0"/>
    <w:p w:rsidR="00167FF0" w:rsidRDefault="00167FF0" w:rsidP="00167FF0">
      <w:r>
        <w:t xml:space="preserve">Quels sont les avantages et inconvénients de </w:t>
      </w:r>
      <w:r w:rsidR="00963DFB">
        <w:t>l’</w:t>
      </w:r>
      <w:r>
        <w:t>indemnisation exceptionnelle, en comparaison avec le financement PCH habituellement mobilisé par les PESH ?</w:t>
      </w:r>
    </w:p>
    <w:p w:rsidR="00167FF0" w:rsidRDefault="00167FF0" w:rsidP="00A404C1">
      <w:pPr>
        <w:pStyle w:val="Titre1"/>
      </w:pPr>
    </w:p>
    <w:p w:rsidR="004A286A" w:rsidRPr="004A286A" w:rsidRDefault="004A286A" w:rsidP="004A286A"/>
    <w:p w:rsidR="00A404C1" w:rsidRDefault="00A404C1" w:rsidP="004A286A">
      <w:pPr>
        <w:pStyle w:val="Titre2"/>
      </w:pPr>
      <w:bookmarkStart w:id="5" w:name="_Ref36488710"/>
      <w:bookmarkStart w:id="6" w:name="_Toc36560612"/>
      <w:r>
        <w:t>Comparaison</w:t>
      </w:r>
      <w:bookmarkEnd w:id="5"/>
      <w:bookmarkEnd w:id="6"/>
      <w:r>
        <w:t xml:space="preserve"> </w:t>
      </w:r>
    </w:p>
    <w:p w:rsidR="004A286A" w:rsidRPr="004A286A" w:rsidRDefault="004A286A" w:rsidP="004A286A"/>
    <w:tbl>
      <w:tblPr>
        <w:tblStyle w:val="Grilledutableau"/>
        <w:tblW w:w="9070" w:type="dxa"/>
        <w:tblLook w:val="04A0" w:firstRow="1" w:lastRow="0" w:firstColumn="1" w:lastColumn="0" w:noHBand="0" w:noVBand="1"/>
      </w:tblPr>
      <w:tblGrid>
        <w:gridCol w:w="4535"/>
        <w:gridCol w:w="4535"/>
      </w:tblGrid>
      <w:tr w:rsidR="00A404C1" w:rsidTr="00A404C1">
        <w:tc>
          <w:tcPr>
            <w:tcW w:w="4535" w:type="dxa"/>
          </w:tcPr>
          <w:p w:rsidR="00A404C1" w:rsidRPr="00A404C1" w:rsidRDefault="00AC7F5C" w:rsidP="00A404C1">
            <w:pPr>
              <w:jc w:val="center"/>
              <w:rPr>
                <w:rFonts w:ascii="Poppins SemiBold" w:hAnsi="Poppins SemiBold" w:cs="Poppins SemiBold"/>
              </w:rPr>
            </w:pPr>
            <w:r>
              <w:rPr>
                <w:rFonts w:ascii="Poppins SemiBold" w:hAnsi="Poppins SemiBold" w:cs="Poppins SemiBold"/>
              </w:rPr>
              <w:t>Indemnisation exceptionnelle</w:t>
            </w:r>
          </w:p>
        </w:tc>
        <w:tc>
          <w:tcPr>
            <w:tcW w:w="4535" w:type="dxa"/>
          </w:tcPr>
          <w:p w:rsidR="00A404C1" w:rsidRPr="00A404C1" w:rsidRDefault="00A404C1" w:rsidP="00A404C1">
            <w:pPr>
              <w:jc w:val="center"/>
              <w:rPr>
                <w:rFonts w:ascii="Poppins SemiBold" w:hAnsi="Poppins SemiBold" w:cs="Poppins SemiBold"/>
              </w:rPr>
            </w:pPr>
            <w:r w:rsidRPr="00A404C1">
              <w:rPr>
                <w:rFonts w:ascii="Poppins SemiBold" w:hAnsi="Poppins SemiBold" w:cs="Poppins SemiBold"/>
              </w:rPr>
              <w:t>Financement PCH</w:t>
            </w:r>
          </w:p>
        </w:tc>
      </w:tr>
      <w:tr w:rsidR="00AC7F5C" w:rsidTr="00A404C1">
        <w:tc>
          <w:tcPr>
            <w:tcW w:w="4535" w:type="dxa"/>
          </w:tcPr>
          <w:p w:rsidR="00AC7F5C" w:rsidRDefault="00AC7F5C" w:rsidP="00A404C1">
            <w:r>
              <w:t>Versé par les pouvoirs publics au PE (remboursement du maintien de salaire)</w:t>
            </w:r>
          </w:p>
        </w:tc>
        <w:tc>
          <w:tcPr>
            <w:tcW w:w="4535" w:type="dxa"/>
          </w:tcPr>
          <w:p w:rsidR="00AC7F5C" w:rsidRDefault="00AC7F5C" w:rsidP="00A404C1">
            <w:r>
              <w:t>Versé par le CD au PE (prise en charge des frais d’aide humaine en emploi direct)</w:t>
            </w:r>
          </w:p>
        </w:tc>
      </w:tr>
      <w:tr w:rsidR="00A404C1" w:rsidTr="00A404C1">
        <w:tc>
          <w:tcPr>
            <w:tcW w:w="4535" w:type="dxa"/>
          </w:tcPr>
          <w:p w:rsidR="00A404C1" w:rsidRDefault="00A404C1" w:rsidP="00A404C1">
            <w:r>
              <w:t>Prise en charge partielle </w:t>
            </w:r>
            <w:r w:rsidR="00AC7F5C">
              <w:t xml:space="preserve">du salaire </w:t>
            </w:r>
            <w:r>
              <w:t>: 80 % du montant net des heures non réalisées</w:t>
            </w:r>
            <w:r w:rsidR="002E6850">
              <w:rPr>
                <w:rStyle w:val="Appelnotedebasdep"/>
              </w:rPr>
              <w:footnoteReference w:id="5"/>
            </w:r>
          </w:p>
        </w:tc>
        <w:tc>
          <w:tcPr>
            <w:tcW w:w="4535" w:type="dxa"/>
          </w:tcPr>
          <w:p w:rsidR="00A404C1" w:rsidRDefault="00A404C1" w:rsidP="002E6850">
            <w:r>
              <w:t>Prise en charge totale </w:t>
            </w:r>
            <w:r w:rsidR="002E6850">
              <w:t>du salaire net et des cotisations sociales</w:t>
            </w:r>
            <w:r w:rsidR="002E6850">
              <w:rPr>
                <w:rStyle w:val="Appelnotedebasdep"/>
              </w:rPr>
              <w:footnoteReference w:id="6"/>
            </w:r>
          </w:p>
        </w:tc>
      </w:tr>
      <w:tr w:rsidR="00963DFB" w:rsidTr="00A404C1">
        <w:tc>
          <w:tcPr>
            <w:tcW w:w="4535" w:type="dxa"/>
          </w:tcPr>
          <w:p w:rsidR="00963DFB" w:rsidRDefault="009158F7" w:rsidP="00A404C1">
            <w:r>
              <w:t>Prise en charge du paiement d’heures non effectuées</w:t>
            </w:r>
          </w:p>
        </w:tc>
        <w:tc>
          <w:tcPr>
            <w:tcW w:w="4535" w:type="dxa"/>
          </w:tcPr>
          <w:p w:rsidR="00963DFB" w:rsidRDefault="009158F7" w:rsidP="002E6850">
            <w:r>
              <w:t>Prise en charge du paiement d’heures effectuées (et non effectuées selon les CD)</w:t>
            </w:r>
          </w:p>
        </w:tc>
      </w:tr>
      <w:tr w:rsidR="00A404C1" w:rsidTr="00A404C1">
        <w:tc>
          <w:tcPr>
            <w:tcW w:w="4535" w:type="dxa"/>
          </w:tcPr>
          <w:p w:rsidR="00A404C1" w:rsidRDefault="00216503" w:rsidP="00A404C1">
            <w:r>
              <w:t>Salaire n</w:t>
            </w:r>
            <w:r w:rsidR="00A404C1">
              <w:t>on soumis aux cotisations sociales</w:t>
            </w:r>
          </w:p>
        </w:tc>
        <w:tc>
          <w:tcPr>
            <w:tcW w:w="4535" w:type="dxa"/>
          </w:tcPr>
          <w:p w:rsidR="00A404C1" w:rsidRDefault="00A404C1" w:rsidP="00A404C1">
            <w:r>
              <w:t>S</w:t>
            </w:r>
            <w:r w:rsidR="00216503">
              <w:t>alaire s</w:t>
            </w:r>
            <w:r>
              <w:t>oumis à cotisations sociales</w:t>
            </w:r>
          </w:p>
        </w:tc>
      </w:tr>
      <w:tr w:rsidR="00A404C1" w:rsidTr="00A404C1">
        <w:tc>
          <w:tcPr>
            <w:tcW w:w="4535" w:type="dxa"/>
          </w:tcPr>
          <w:p w:rsidR="00A404C1" w:rsidRDefault="00415BCA" w:rsidP="00A404C1">
            <w:r>
              <w:t>Salaire s</w:t>
            </w:r>
            <w:r w:rsidR="00A404C1">
              <w:t>oumis à l’impôt sur le revenu</w:t>
            </w:r>
          </w:p>
        </w:tc>
        <w:tc>
          <w:tcPr>
            <w:tcW w:w="4535" w:type="dxa"/>
          </w:tcPr>
          <w:p w:rsidR="00A404C1" w:rsidRDefault="00415BCA" w:rsidP="00A404C1">
            <w:r>
              <w:t xml:space="preserve">Salaire soumis </w:t>
            </w:r>
            <w:r w:rsidR="00A404C1">
              <w:t>à l’impôt sur le revenu</w:t>
            </w:r>
          </w:p>
        </w:tc>
      </w:tr>
    </w:tbl>
    <w:p w:rsidR="00A404C1" w:rsidRDefault="00A404C1"/>
    <w:p w:rsidR="002E6850" w:rsidRDefault="002E6850"/>
    <w:p w:rsidR="00EB0CA3" w:rsidRDefault="00EB0CA3"/>
    <w:p w:rsidR="00167FF0" w:rsidRDefault="00167FF0">
      <w:pPr>
        <w:spacing w:after="160" w:line="259" w:lineRule="auto"/>
        <w:jc w:val="left"/>
        <w:rPr>
          <w:rFonts w:ascii="Poppins SemiBold" w:eastAsiaTheme="majorEastAsia" w:hAnsi="Poppins SemiBold" w:cstheme="majorBidi"/>
          <w:color w:val="00536B"/>
          <w:sz w:val="28"/>
          <w:szCs w:val="32"/>
        </w:rPr>
      </w:pPr>
      <w:r>
        <w:br w:type="page"/>
      </w:r>
    </w:p>
    <w:p w:rsidR="00A404C1" w:rsidRDefault="00A404C1" w:rsidP="004A286A">
      <w:pPr>
        <w:pStyle w:val="Titre2"/>
      </w:pPr>
      <w:bookmarkStart w:id="7" w:name="_Ref36488702"/>
      <w:bookmarkStart w:id="8" w:name="_Toc36560613"/>
      <w:r>
        <w:lastRenderedPageBreak/>
        <w:t>Point de vue du PE</w:t>
      </w:r>
      <w:bookmarkEnd w:id="7"/>
      <w:bookmarkEnd w:id="8"/>
    </w:p>
    <w:p w:rsidR="004A286A" w:rsidRPr="004A286A" w:rsidRDefault="004A286A" w:rsidP="004A286A"/>
    <w:tbl>
      <w:tblPr>
        <w:tblStyle w:val="Grilledutableau"/>
        <w:tblW w:w="9354" w:type="dxa"/>
        <w:tblLook w:val="04A0" w:firstRow="1" w:lastRow="0" w:firstColumn="1" w:lastColumn="0" w:noHBand="0" w:noVBand="1"/>
      </w:tblPr>
      <w:tblGrid>
        <w:gridCol w:w="1984"/>
        <w:gridCol w:w="3685"/>
        <w:gridCol w:w="3685"/>
      </w:tblGrid>
      <w:tr w:rsidR="00AC7F5C" w:rsidTr="00AC7F5C">
        <w:tc>
          <w:tcPr>
            <w:tcW w:w="1984" w:type="dxa"/>
            <w:tcBorders>
              <w:top w:val="nil"/>
              <w:left w:val="nil"/>
            </w:tcBorders>
            <w:vAlign w:val="center"/>
          </w:tcPr>
          <w:p w:rsidR="00AC7F5C" w:rsidRDefault="00AC7F5C" w:rsidP="00AC7F5C">
            <w:pPr>
              <w:jc w:val="center"/>
            </w:pPr>
          </w:p>
        </w:tc>
        <w:tc>
          <w:tcPr>
            <w:tcW w:w="3685" w:type="dxa"/>
            <w:vAlign w:val="center"/>
          </w:tcPr>
          <w:p w:rsidR="00AC7F5C" w:rsidRPr="00A404C1" w:rsidRDefault="00AC7F5C" w:rsidP="00AC7F5C">
            <w:pPr>
              <w:jc w:val="center"/>
              <w:rPr>
                <w:rFonts w:ascii="Poppins SemiBold" w:hAnsi="Poppins SemiBold" w:cs="Poppins SemiBold"/>
              </w:rPr>
            </w:pPr>
            <w:r>
              <w:rPr>
                <w:rFonts w:ascii="Poppins SemiBold" w:hAnsi="Poppins SemiBold" w:cs="Poppins SemiBold"/>
              </w:rPr>
              <w:t>Indemnisation exceptionnelle</w:t>
            </w:r>
          </w:p>
        </w:tc>
        <w:tc>
          <w:tcPr>
            <w:tcW w:w="3685" w:type="dxa"/>
            <w:vAlign w:val="center"/>
          </w:tcPr>
          <w:p w:rsidR="00AC7F5C" w:rsidRPr="00A404C1" w:rsidRDefault="00AC7F5C" w:rsidP="00AC7F5C">
            <w:pPr>
              <w:jc w:val="center"/>
              <w:rPr>
                <w:rFonts w:ascii="Poppins SemiBold" w:hAnsi="Poppins SemiBold" w:cs="Poppins SemiBold"/>
              </w:rPr>
            </w:pPr>
            <w:r w:rsidRPr="00A404C1">
              <w:rPr>
                <w:rFonts w:ascii="Poppins SemiBold" w:hAnsi="Poppins SemiBold" w:cs="Poppins SemiBold"/>
              </w:rPr>
              <w:t>Financement PCH</w:t>
            </w:r>
          </w:p>
        </w:tc>
      </w:tr>
      <w:tr w:rsidR="00C34CF3" w:rsidTr="00856E83">
        <w:tc>
          <w:tcPr>
            <w:tcW w:w="1984" w:type="dxa"/>
            <w:vMerge w:val="restart"/>
            <w:shd w:val="clear" w:color="auto" w:fill="E2EFD9" w:themeFill="accent6" w:themeFillTint="33"/>
            <w:vAlign w:val="center"/>
          </w:tcPr>
          <w:p w:rsidR="00C34CF3" w:rsidRPr="00856E83" w:rsidRDefault="00C34CF3" w:rsidP="00AC7F5C">
            <w:pPr>
              <w:jc w:val="center"/>
              <w:rPr>
                <w:rFonts w:ascii="Poppins SemiBold" w:hAnsi="Poppins SemiBold" w:cs="Poppins SemiBold"/>
              </w:rPr>
            </w:pPr>
            <w:r w:rsidRPr="00856E83">
              <w:rPr>
                <w:rFonts w:ascii="Poppins SemiBold" w:hAnsi="Poppins SemiBold" w:cs="Poppins SemiBold"/>
              </w:rPr>
              <w:t>Avantages</w:t>
            </w:r>
          </w:p>
        </w:tc>
        <w:tc>
          <w:tcPr>
            <w:tcW w:w="3685" w:type="dxa"/>
            <w:vMerge w:val="restart"/>
            <w:shd w:val="clear" w:color="auto" w:fill="E2EFD9" w:themeFill="accent6" w:themeFillTint="33"/>
            <w:vAlign w:val="center"/>
          </w:tcPr>
          <w:p w:rsidR="00C34CF3" w:rsidRDefault="00C34CF3" w:rsidP="00AC7F5C">
            <w:pPr>
              <w:jc w:val="left"/>
            </w:pPr>
            <w:r>
              <w:t>Eviter un reste à charge si dépassement des heures PCH accordées</w:t>
            </w:r>
          </w:p>
        </w:tc>
        <w:tc>
          <w:tcPr>
            <w:tcW w:w="3685" w:type="dxa"/>
            <w:shd w:val="clear" w:color="auto" w:fill="E2EFD9" w:themeFill="accent6" w:themeFillTint="33"/>
            <w:vAlign w:val="center"/>
          </w:tcPr>
          <w:p w:rsidR="00C34CF3" w:rsidRDefault="00C34CF3" w:rsidP="00AC7F5C">
            <w:pPr>
              <w:jc w:val="left"/>
            </w:pPr>
            <w:r>
              <w:t>Démarche à faire facile et déjà connue (routine)</w:t>
            </w:r>
          </w:p>
        </w:tc>
      </w:tr>
      <w:tr w:rsidR="00C34CF3" w:rsidTr="00856E83">
        <w:tc>
          <w:tcPr>
            <w:tcW w:w="1984" w:type="dxa"/>
            <w:vMerge/>
            <w:shd w:val="clear" w:color="auto" w:fill="E2EFD9" w:themeFill="accent6" w:themeFillTint="33"/>
            <w:vAlign w:val="center"/>
          </w:tcPr>
          <w:p w:rsidR="00C34CF3" w:rsidRDefault="00C34CF3" w:rsidP="00AC7F5C">
            <w:pPr>
              <w:jc w:val="center"/>
            </w:pPr>
          </w:p>
        </w:tc>
        <w:tc>
          <w:tcPr>
            <w:tcW w:w="3685" w:type="dxa"/>
            <w:vMerge/>
            <w:shd w:val="clear" w:color="auto" w:fill="E2EFD9" w:themeFill="accent6" w:themeFillTint="33"/>
            <w:vAlign w:val="center"/>
          </w:tcPr>
          <w:p w:rsidR="00C34CF3" w:rsidRDefault="00C34CF3" w:rsidP="00D534FB">
            <w:pPr>
              <w:jc w:val="left"/>
            </w:pPr>
          </w:p>
        </w:tc>
        <w:tc>
          <w:tcPr>
            <w:tcW w:w="3685" w:type="dxa"/>
            <w:shd w:val="clear" w:color="auto" w:fill="E2EFD9" w:themeFill="accent6" w:themeFillTint="33"/>
            <w:vAlign w:val="center"/>
          </w:tcPr>
          <w:p w:rsidR="00C34CF3" w:rsidRDefault="00C34CF3" w:rsidP="00AC7F5C">
            <w:pPr>
              <w:jc w:val="left"/>
            </w:pPr>
            <w:r>
              <w:t>Pas d’avance du salaire</w:t>
            </w:r>
          </w:p>
        </w:tc>
      </w:tr>
      <w:tr w:rsidR="00C34CF3" w:rsidTr="00856E83">
        <w:tc>
          <w:tcPr>
            <w:tcW w:w="1984" w:type="dxa"/>
            <w:vMerge/>
            <w:shd w:val="clear" w:color="auto" w:fill="E2EFD9" w:themeFill="accent6" w:themeFillTint="33"/>
            <w:vAlign w:val="center"/>
          </w:tcPr>
          <w:p w:rsidR="00C34CF3" w:rsidRDefault="00C34CF3" w:rsidP="00AC7F5C">
            <w:pPr>
              <w:jc w:val="center"/>
            </w:pPr>
          </w:p>
        </w:tc>
        <w:tc>
          <w:tcPr>
            <w:tcW w:w="3685" w:type="dxa"/>
            <w:vMerge w:val="restart"/>
            <w:shd w:val="clear" w:color="auto" w:fill="E2EFD9" w:themeFill="accent6" w:themeFillTint="33"/>
            <w:vAlign w:val="center"/>
          </w:tcPr>
          <w:p w:rsidR="00C34CF3" w:rsidRDefault="00C34CF3" w:rsidP="00AC7F5C">
            <w:pPr>
              <w:jc w:val="left"/>
            </w:pPr>
            <w:r>
              <w:t>Limiter le nombre de salariés avec le « chômage partiel » d’une partie de l’équipe</w:t>
            </w:r>
            <w:r>
              <w:rPr>
                <w:rStyle w:val="Appelnotedebasdep"/>
              </w:rPr>
              <w:footnoteReference w:id="7"/>
            </w:r>
          </w:p>
        </w:tc>
        <w:tc>
          <w:tcPr>
            <w:tcW w:w="3685" w:type="dxa"/>
            <w:shd w:val="clear" w:color="auto" w:fill="E2EFD9" w:themeFill="accent6" w:themeFillTint="33"/>
            <w:vAlign w:val="center"/>
          </w:tcPr>
          <w:p w:rsidR="00C34CF3" w:rsidRDefault="00C34CF3" w:rsidP="00AC7F5C">
            <w:pPr>
              <w:jc w:val="left"/>
            </w:pPr>
            <w:r>
              <w:t>Pas de reste à charge sur le montant du salaire</w:t>
            </w:r>
          </w:p>
        </w:tc>
      </w:tr>
      <w:tr w:rsidR="00C34CF3" w:rsidTr="00856E83">
        <w:tc>
          <w:tcPr>
            <w:tcW w:w="1984" w:type="dxa"/>
            <w:vMerge/>
            <w:shd w:val="clear" w:color="auto" w:fill="E2EFD9" w:themeFill="accent6" w:themeFillTint="33"/>
            <w:vAlign w:val="center"/>
          </w:tcPr>
          <w:p w:rsidR="00C34CF3" w:rsidRDefault="00C34CF3" w:rsidP="00AC7F5C">
            <w:pPr>
              <w:jc w:val="center"/>
            </w:pPr>
          </w:p>
        </w:tc>
        <w:tc>
          <w:tcPr>
            <w:tcW w:w="3685" w:type="dxa"/>
            <w:vMerge/>
            <w:shd w:val="clear" w:color="auto" w:fill="E2EFD9" w:themeFill="accent6" w:themeFillTint="33"/>
            <w:vAlign w:val="center"/>
          </w:tcPr>
          <w:p w:rsidR="00C34CF3" w:rsidRDefault="00C34CF3" w:rsidP="00AC7F5C">
            <w:pPr>
              <w:jc w:val="left"/>
            </w:pPr>
          </w:p>
        </w:tc>
        <w:tc>
          <w:tcPr>
            <w:tcW w:w="3685" w:type="dxa"/>
            <w:shd w:val="clear" w:color="auto" w:fill="E2EFD9" w:themeFill="accent6" w:themeFillTint="33"/>
            <w:vAlign w:val="center"/>
          </w:tcPr>
          <w:p w:rsidR="00C34CF3" w:rsidRDefault="00C34CF3" w:rsidP="00AC7F5C">
            <w:pPr>
              <w:jc w:val="left"/>
            </w:pPr>
            <w:r>
              <w:t>Prise en charge des heures non effectuées et payées</w:t>
            </w:r>
            <w:r>
              <w:rPr>
                <w:rStyle w:val="Appelnotedebasdep"/>
              </w:rPr>
              <w:footnoteReference w:id="8"/>
            </w:r>
          </w:p>
        </w:tc>
      </w:tr>
      <w:tr w:rsidR="00C05B7B" w:rsidTr="00856E83">
        <w:tc>
          <w:tcPr>
            <w:tcW w:w="1984" w:type="dxa"/>
            <w:vMerge w:val="restart"/>
            <w:shd w:val="clear" w:color="auto" w:fill="FBE4D5" w:themeFill="accent2" w:themeFillTint="33"/>
            <w:vAlign w:val="center"/>
          </w:tcPr>
          <w:p w:rsidR="00C05B7B" w:rsidRPr="00856E83" w:rsidRDefault="00C05B7B" w:rsidP="00AC7F5C">
            <w:pPr>
              <w:jc w:val="center"/>
              <w:rPr>
                <w:rFonts w:ascii="Poppins SemiBold" w:hAnsi="Poppins SemiBold" w:cs="Poppins SemiBold"/>
              </w:rPr>
            </w:pPr>
            <w:r w:rsidRPr="00856E83">
              <w:rPr>
                <w:rFonts w:ascii="Poppins SemiBold" w:hAnsi="Poppins SemiBold" w:cs="Poppins SemiBold"/>
              </w:rPr>
              <w:t>Inconvénients</w:t>
            </w:r>
          </w:p>
        </w:tc>
        <w:tc>
          <w:tcPr>
            <w:tcW w:w="3685" w:type="dxa"/>
            <w:shd w:val="clear" w:color="auto" w:fill="FBE4D5" w:themeFill="accent2" w:themeFillTint="33"/>
            <w:vAlign w:val="center"/>
          </w:tcPr>
          <w:p w:rsidR="00C05B7B" w:rsidRDefault="00C05B7B" w:rsidP="00AC7F5C">
            <w:pPr>
              <w:jc w:val="left"/>
            </w:pPr>
            <w:r>
              <w:t>Méconnaissance des démarches à faire</w:t>
            </w:r>
            <w:r w:rsidR="00C34CF3">
              <w:rPr>
                <w:rStyle w:val="Appelnotedebasdep"/>
              </w:rPr>
              <w:footnoteReference w:id="9"/>
            </w:r>
          </w:p>
        </w:tc>
        <w:tc>
          <w:tcPr>
            <w:tcW w:w="3685" w:type="dxa"/>
            <w:vMerge w:val="restart"/>
            <w:shd w:val="clear" w:color="auto" w:fill="FBE4D5" w:themeFill="accent2" w:themeFillTint="33"/>
            <w:vAlign w:val="center"/>
          </w:tcPr>
          <w:p w:rsidR="00C05B7B" w:rsidRDefault="00C05B7B" w:rsidP="00AC7F5C">
            <w:pPr>
              <w:jc w:val="left"/>
            </w:pPr>
            <w:r>
              <w:t>Reste à charge possible</w:t>
            </w:r>
            <w:r>
              <w:rPr>
                <w:rStyle w:val="Appelnotedebasdep"/>
              </w:rPr>
              <w:footnoteReference w:id="10"/>
            </w:r>
            <w:r>
              <w:t xml:space="preserve"> si dépassement des heures PCH accordées</w:t>
            </w:r>
          </w:p>
        </w:tc>
      </w:tr>
      <w:tr w:rsidR="00C05B7B" w:rsidTr="00856E83">
        <w:tc>
          <w:tcPr>
            <w:tcW w:w="1984" w:type="dxa"/>
            <w:vMerge/>
            <w:shd w:val="clear" w:color="auto" w:fill="FBE4D5" w:themeFill="accent2" w:themeFillTint="33"/>
            <w:vAlign w:val="center"/>
          </w:tcPr>
          <w:p w:rsidR="00C05B7B" w:rsidRDefault="00C05B7B" w:rsidP="00AC7F5C">
            <w:pPr>
              <w:jc w:val="center"/>
            </w:pPr>
          </w:p>
        </w:tc>
        <w:tc>
          <w:tcPr>
            <w:tcW w:w="3685" w:type="dxa"/>
            <w:shd w:val="clear" w:color="auto" w:fill="FBE4D5" w:themeFill="accent2" w:themeFillTint="33"/>
            <w:vAlign w:val="center"/>
          </w:tcPr>
          <w:p w:rsidR="00C05B7B" w:rsidRDefault="00C05B7B" w:rsidP="00AC7F5C">
            <w:pPr>
              <w:jc w:val="left"/>
            </w:pPr>
            <w:r>
              <w:t>Faire l’avance du salaire</w:t>
            </w:r>
          </w:p>
        </w:tc>
        <w:tc>
          <w:tcPr>
            <w:tcW w:w="3685" w:type="dxa"/>
            <w:vMerge/>
            <w:shd w:val="clear" w:color="auto" w:fill="FBE4D5" w:themeFill="accent2" w:themeFillTint="33"/>
            <w:vAlign w:val="center"/>
          </w:tcPr>
          <w:p w:rsidR="00C05B7B" w:rsidRDefault="00C05B7B" w:rsidP="00AC7F5C">
            <w:pPr>
              <w:jc w:val="left"/>
            </w:pPr>
          </w:p>
        </w:tc>
      </w:tr>
      <w:tr w:rsidR="00C05B7B" w:rsidTr="00856E83">
        <w:tc>
          <w:tcPr>
            <w:tcW w:w="1984" w:type="dxa"/>
            <w:vMerge/>
            <w:shd w:val="clear" w:color="auto" w:fill="FBE4D5" w:themeFill="accent2" w:themeFillTint="33"/>
            <w:vAlign w:val="center"/>
          </w:tcPr>
          <w:p w:rsidR="00C05B7B" w:rsidRDefault="00C05B7B" w:rsidP="00AC7F5C">
            <w:pPr>
              <w:jc w:val="center"/>
            </w:pPr>
          </w:p>
        </w:tc>
        <w:tc>
          <w:tcPr>
            <w:tcW w:w="3685" w:type="dxa"/>
            <w:shd w:val="clear" w:color="auto" w:fill="FBE4D5" w:themeFill="accent2" w:themeFillTint="33"/>
            <w:vAlign w:val="center"/>
          </w:tcPr>
          <w:p w:rsidR="00C05B7B" w:rsidRDefault="00C05B7B" w:rsidP="002E6850">
            <w:pPr>
              <w:jc w:val="left"/>
            </w:pPr>
            <w:r>
              <w:t>Reste à charge si le PE paie au salarié les 20% restants</w:t>
            </w:r>
            <w:r>
              <w:rPr>
                <w:rStyle w:val="Appelnotedebasdep"/>
              </w:rPr>
              <w:footnoteReference w:id="11"/>
            </w:r>
          </w:p>
        </w:tc>
        <w:tc>
          <w:tcPr>
            <w:tcW w:w="3685" w:type="dxa"/>
            <w:vMerge/>
            <w:shd w:val="clear" w:color="auto" w:fill="FBE4D5" w:themeFill="accent2" w:themeFillTint="33"/>
            <w:vAlign w:val="center"/>
          </w:tcPr>
          <w:p w:rsidR="00C05B7B" w:rsidRDefault="00C05B7B" w:rsidP="002E6850">
            <w:pPr>
              <w:jc w:val="left"/>
            </w:pPr>
          </w:p>
        </w:tc>
      </w:tr>
      <w:tr w:rsidR="00C05B7B" w:rsidTr="00856E83">
        <w:tc>
          <w:tcPr>
            <w:tcW w:w="1984" w:type="dxa"/>
            <w:vMerge/>
            <w:shd w:val="clear" w:color="auto" w:fill="FBE4D5" w:themeFill="accent2" w:themeFillTint="33"/>
            <w:vAlign w:val="center"/>
          </w:tcPr>
          <w:p w:rsidR="00C05B7B" w:rsidRDefault="00C05B7B" w:rsidP="00AC7F5C">
            <w:pPr>
              <w:jc w:val="center"/>
            </w:pPr>
          </w:p>
        </w:tc>
        <w:tc>
          <w:tcPr>
            <w:tcW w:w="3685" w:type="dxa"/>
            <w:shd w:val="clear" w:color="auto" w:fill="FBE4D5" w:themeFill="accent2" w:themeFillTint="33"/>
            <w:vAlign w:val="center"/>
          </w:tcPr>
          <w:p w:rsidR="00C05B7B" w:rsidRDefault="00C05B7B" w:rsidP="002E6850">
            <w:pPr>
              <w:jc w:val="left"/>
            </w:pPr>
            <w:r>
              <w:t>Contrôle a postériori</w:t>
            </w:r>
            <w:r>
              <w:rPr>
                <w:rStyle w:val="Appelnotedebasdep"/>
              </w:rPr>
              <w:footnoteReference w:id="12"/>
            </w:r>
          </w:p>
        </w:tc>
        <w:tc>
          <w:tcPr>
            <w:tcW w:w="3685" w:type="dxa"/>
            <w:vMerge/>
            <w:shd w:val="clear" w:color="auto" w:fill="FBE4D5" w:themeFill="accent2" w:themeFillTint="33"/>
            <w:vAlign w:val="center"/>
          </w:tcPr>
          <w:p w:rsidR="00C05B7B" w:rsidRDefault="00C05B7B" w:rsidP="002E6850">
            <w:pPr>
              <w:jc w:val="left"/>
            </w:pPr>
          </w:p>
        </w:tc>
      </w:tr>
    </w:tbl>
    <w:p w:rsidR="00856E83" w:rsidRDefault="00856E83" w:rsidP="00F96FF4">
      <w:pPr>
        <w:pStyle w:val="Titre1"/>
      </w:pPr>
    </w:p>
    <w:p w:rsidR="008549BE" w:rsidRPr="008549BE" w:rsidRDefault="00EB0CA3" w:rsidP="008549BE">
      <w:r>
        <w:sym w:font="Wingdings" w:char="F0F0"/>
      </w:r>
      <w:r>
        <w:t xml:space="preserve"> </w:t>
      </w:r>
      <w:r w:rsidR="008549BE" w:rsidRPr="00EB0CA3">
        <w:rPr>
          <w:rFonts w:ascii="Poppins SemiBold" w:hAnsi="Poppins SemiBold" w:cs="Poppins SemiBold"/>
        </w:rPr>
        <w:t>Pour le PE, le financement PCH présente plus d’avantages et moins d’inconvénients</w:t>
      </w:r>
      <w:r w:rsidR="008549BE">
        <w:t xml:space="preserve"> que l’indemnisation exceptionnelle.</w:t>
      </w:r>
    </w:p>
    <w:p w:rsidR="00856E83" w:rsidRDefault="00856E83" w:rsidP="00856E83">
      <w:pPr>
        <w:rPr>
          <w:rFonts w:ascii="Poppins SemiBold" w:eastAsiaTheme="majorEastAsia" w:hAnsi="Poppins SemiBold" w:cstheme="majorBidi"/>
          <w:color w:val="00536B"/>
          <w:sz w:val="28"/>
          <w:szCs w:val="32"/>
        </w:rPr>
      </w:pPr>
      <w:r>
        <w:br w:type="page"/>
      </w:r>
    </w:p>
    <w:p w:rsidR="00A404C1" w:rsidRDefault="00A404C1" w:rsidP="004A286A">
      <w:pPr>
        <w:pStyle w:val="Titre2"/>
      </w:pPr>
      <w:bookmarkStart w:id="9" w:name="_Ref36488155"/>
      <w:bookmarkStart w:id="10" w:name="_Toc36560614"/>
      <w:r>
        <w:lastRenderedPageBreak/>
        <w:t>P</w:t>
      </w:r>
      <w:r w:rsidR="00F96FF4">
        <w:t>oint de vue du</w:t>
      </w:r>
      <w:r>
        <w:t xml:space="preserve"> salarié</w:t>
      </w:r>
      <w:bookmarkEnd w:id="9"/>
      <w:bookmarkEnd w:id="10"/>
    </w:p>
    <w:p w:rsidR="004A286A" w:rsidRPr="004A286A" w:rsidRDefault="004A286A" w:rsidP="004A286A"/>
    <w:tbl>
      <w:tblPr>
        <w:tblStyle w:val="Grilledutableau"/>
        <w:tblW w:w="9354" w:type="dxa"/>
        <w:tblLook w:val="04A0" w:firstRow="1" w:lastRow="0" w:firstColumn="1" w:lastColumn="0" w:noHBand="0" w:noVBand="1"/>
      </w:tblPr>
      <w:tblGrid>
        <w:gridCol w:w="1984"/>
        <w:gridCol w:w="3685"/>
        <w:gridCol w:w="3685"/>
      </w:tblGrid>
      <w:tr w:rsidR="00AC7F5C" w:rsidTr="00AC7F5C">
        <w:tc>
          <w:tcPr>
            <w:tcW w:w="1984" w:type="dxa"/>
            <w:tcBorders>
              <w:top w:val="nil"/>
              <w:left w:val="nil"/>
            </w:tcBorders>
            <w:vAlign w:val="center"/>
          </w:tcPr>
          <w:p w:rsidR="00AC7F5C" w:rsidRDefault="00AC7F5C" w:rsidP="00AC7F5C">
            <w:pPr>
              <w:jc w:val="center"/>
            </w:pPr>
          </w:p>
        </w:tc>
        <w:tc>
          <w:tcPr>
            <w:tcW w:w="3685" w:type="dxa"/>
            <w:vAlign w:val="center"/>
          </w:tcPr>
          <w:p w:rsidR="00AC7F5C" w:rsidRPr="00A404C1" w:rsidRDefault="00AC7F5C" w:rsidP="00AC7F5C">
            <w:pPr>
              <w:jc w:val="center"/>
              <w:rPr>
                <w:rFonts w:ascii="Poppins SemiBold" w:hAnsi="Poppins SemiBold" w:cs="Poppins SemiBold"/>
              </w:rPr>
            </w:pPr>
            <w:r>
              <w:rPr>
                <w:rFonts w:ascii="Poppins SemiBold" w:hAnsi="Poppins SemiBold" w:cs="Poppins SemiBold"/>
              </w:rPr>
              <w:t>Indemnisation exceptionnelle</w:t>
            </w:r>
          </w:p>
        </w:tc>
        <w:tc>
          <w:tcPr>
            <w:tcW w:w="3685" w:type="dxa"/>
            <w:vAlign w:val="center"/>
          </w:tcPr>
          <w:p w:rsidR="00AC7F5C" w:rsidRPr="00A404C1" w:rsidRDefault="00AC7F5C" w:rsidP="00AC7F5C">
            <w:pPr>
              <w:jc w:val="center"/>
              <w:rPr>
                <w:rFonts w:ascii="Poppins SemiBold" w:hAnsi="Poppins SemiBold" w:cs="Poppins SemiBold"/>
              </w:rPr>
            </w:pPr>
            <w:r w:rsidRPr="00A404C1">
              <w:rPr>
                <w:rFonts w:ascii="Poppins SemiBold" w:hAnsi="Poppins SemiBold" w:cs="Poppins SemiBold"/>
              </w:rPr>
              <w:t>Financement PCH</w:t>
            </w:r>
          </w:p>
        </w:tc>
      </w:tr>
      <w:tr w:rsidR="00856E83" w:rsidTr="00856E83">
        <w:tc>
          <w:tcPr>
            <w:tcW w:w="1984" w:type="dxa"/>
            <w:vMerge w:val="restart"/>
            <w:shd w:val="clear" w:color="auto" w:fill="E2EFD9" w:themeFill="accent6" w:themeFillTint="33"/>
            <w:vAlign w:val="center"/>
          </w:tcPr>
          <w:p w:rsidR="00856E83" w:rsidRPr="00856E83" w:rsidRDefault="00856E83" w:rsidP="00AC7F5C">
            <w:pPr>
              <w:jc w:val="center"/>
              <w:rPr>
                <w:rFonts w:ascii="Poppins SemiBold" w:hAnsi="Poppins SemiBold" w:cs="Poppins SemiBold"/>
              </w:rPr>
            </w:pPr>
            <w:r w:rsidRPr="00856E83">
              <w:rPr>
                <w:rFonts w:ascii="Poppins SemiBold" w:hAnsi="Poppins SemiBold" w:cs="Poppins SemiBold"/>
              </w:rPr>
              <w:t>Avantages</w:t>
            </w:r>
          </w:p>
        </w:tc>
        <w:tc>
          <w:tcPr>
            <w:tcW w:w="3685" w:type="dxa"/>
            <w:vMerge w:val="restart"/>
            <w:shd w:val="clear" w:color="auto" w:fill="E2EFD9" w:themeFill="accent6" w:themeFillTint="33"/>
            <w:vAlign w:val="center"/>
          </w:tcPr>
          <w:p w:rsidR="00856E83" w:rsidRDefault="00856E83" w:rsidP="00AC7F5C">
            <w:pPr>
              <w:jc w:val="left"/>
            </w:pPr>
          </w:p>
        </w:tc>
        <w:tc>
          <w:tcPr>
            <w:tcW w:w="3685" w:type="dxa"/>
            <w:shd w:val="clear" w:color="auto" w:fill="E2EFD9" w:themeFill="accent6" w:themeFillTint="33"/>
            <w:vAlign w:val="center"/>
          </w:tcPr>
          <w:p w:rsidR="00856E83" w:rsidRDefault="00856E83" w:rsidP="00AC7F5C">
            <w:pPr>
              <w:jc w:val="left"/>
            </w:pPr>
            <w:r>
              <w:t>Pas de perte de salaire</w:t>
            </w:r>
          </w:p>
        </w:tc>
      </w:tr>
      <w:tr w:rsidR="00856E83" w:rsidTr="00856E83">
        <w:tc>
          <w:tcPr>
            <w:tcW w:w="1984" w:type="dxa"/>
            <w:vMerge/>
            <w:shd w:val="clear" w:color="auto" w:fill="E2EFD9" w:themeFill="accent6" w:themeFillTint="33"/>
            <w:vAlign w:val="center"/>
          </w:tcPr>
          <w:p w:rsidR="00856E83" w:rsidRDefault="00856E83" w:rsidP="00AC7F5C">
            <w:pPr>
              <w:jc w:val="center"/>
            </w:pPr>
          </w:p>
        </w:tc>
        <w:tc>
          <w:tcPr>
            <w:tcW w:w="3685" w:type="dxa"/>
            <w:vMerge/>
            <w:shd w:val="clear" w:color="auto" w:fill="E2EFD9" w:themeFill="accent6" w:themeFillTint="33"/>
            <w:vAlign w:val="center"/>
          </w:tcPr>
          <w:p w:rsidR="00856E83" w:rsidRDefault="00856E83" w:rsidP="00AC7F5C">
            <w:pPr>
              <w:jc w:val="left"/>
            </w:pPr>
          </w:p>
        </w:tc>
        <w:tc>
          <w:tcPr>
            <w:tcW w:w="3685" w:type="dxa"/>
            <w:shd w:val="clear" w:color="auto" w:fill="E2EFD9" w:themeFill="accent6" w:themeFillTint="33"/>
            <w:vAlign w:val="center"/>
          </w:tcPr>
          <w:p w:rsidR="00856E83" w:rsidRDefault="00856E83" w:rsidP="00AC7F5C">
            <w:pPr>
              <w:jc w:val="left"/>
            </w:pPr>
            <w:r>
              <w:t>Soumis à cotisations sociales</w:t>
            </w:r>
          </w:p>
        </w:tc>
      </w:tr>
      <w:tr w:rsidR="00C34CF3" w:rsidTr="00856E83">
        <w:tc>
          <w:tcPr>
            <w:tcW w:w="1984" w:type="dxa"/>
            <w:vMerge w:val="restart"/>
            <w:shd w:val="clear" w:color="auto" w:fill="FBE4D5" w:themeFill="accent2" w:themeFillTint="33"/>
            <w:vAlign w:val="center"/>
          </w:tcPr>
          <w:p w:rsidR="00C34CF3" w:rsidRPr="00856E83" w:rsidRDefault="00C34CF3" w:rsidP="00AC7F5C">
            <w:pPr>
              <w:jc w:val="center"/>
              <w:rPr>
                <w:rFonts w:ascii="Poppins SemiBold" w:hAnsi="Poppins SemiBold" w:cs="Poppins SemiBold"/>
              </w:rPr>
            </w:pPr>
            <w:r w:rsidRPr="00856E83">
              <w:rPr>
                <w:rFonts w:ascii="Poppins SemiBold" w:hAnsi="Poppins SemiBold" w:cs="Poppins SemiBold"/>
              </w:rPr>
              <w:t>Inconvénients</w:t>
            </w:r>
          </w:p>
        </w:tc>
        <w:tc>
          <w:tcPr>
            <w:tcW w:w="3685" w:type="dxa"/>
            <w:shd w:val="clear" w:color="auto" w:fill="FBE4D5" w:themeFill="accent2" w:themeFillTint="33"/>
            <w:vAlign w:val="center"/>
          </w:tcPr>
          <w:p w:rsidR="00C34CF3" w:rsidRDefault="00C34CF3" w:rsidP="00AC7F5C">
            <w:pPr>
              <w:jc w:val="left"/>
            </w:pPr>
            <w:r>
              <w:t>Perte de salaire de 20%</w:t>
            </w:r>
            <w:r>
              <w:rPr>
                <w:rStyle w:val="Appelnotedebasdep"/>
              </w:rPr>
              <w:footnoteReference w:id="13"/>
            </w:r>
          </w:p>
        </w:tc>
        <w:tc>
          <w:tcPr>
            <w:tcW w:w="3685" w:type="dxa"/>
            <w:vMerge w:val="restart"/>
            <w:shd w:val="clear" w:color="auto" w:fill="FBE4D5" w:themeFill="accent2" w:themeFillTint="33"/>
            <w:vAlign w:val="center"/>
          </w:tcPr>
          <w:p w:rsidR="00C34CF3" w:rsidRDefault="00C34CF3" w:rsidP="00AC7F5C">
            <w:pPr>
              <w:jc w:val="left"/>
            </w:pPr>
            <w:r>
              <w:t>Soumis à l’impôt sur le revenu</w:t>
            </w:r>
          </w:p>
        </w:tc>
      </w:tr>
      <w:tr w:rsidR="00C34CF3" w:rsidTr="00856E83">
        <w:tc>
          <w:tcPr>
            <w:tcW w:w="1984" w:type="dxa"/>
            <w:vMerge/>
            <w:shd w:val="clear" w:color="auto" w:fill="FBE4D5" w:themeFill="accent2" w:themeFillTint="33"/>
            <w:vAlign w:val="center"/>
          </w:tcPr>
          <w:p w:rsidR="00C34CF3" w:rsidRDefault="00C34CF3" w:rsidP="00AC7F5C">
            <w:pPr>
              <w:jc w:val="center"/>
            </w:pPr>
          </w:p>
        </w:tc>
        <w:tc>
          <w:tcPr>
            <w:tcW w:w="3685" w:type="dxa"/>
            <w:shd w:val="clear" w:color="auto" w:fill="FBE4D5" w:themeFill="accent2" w:themeFillTint="33"/>
            <w:vAlign w:val="center"/>
          </w:tcPr>
          <w:p w:rsidR="00C34CF3" w:rsidRDefault="00C34CF3" w:rsidP="00AC7F5C">
            <w:pPr>
              <w:jc w:val="left"/>
            </w:pPr>
            <w:r>
              <w:t>Non soumis aux cotisations sociales</w:t>
            </w:r>
          </w:p>
        </w:tc>
        <w:tc>
          <w:tcPr>
            <w:tcW w:w="3685" w:type="dxa"/>
            <w:vMerge/>
            <w:shd w:val="clear" w:color="auto" w:fill="FBE4D5" w:themeFill="accent2" w:themeFillTint="33"/>
            <w:vAlign w:val="center"/>
          </w:tcPr>
          <w:p w:rsidR="00C34CF3" w:rsidRDefault="00C34CF3" w:rsidP="00AC7F5C">
            <w:pPr>
              <w:jc w:val="left"/>
            </w:pPr>
          </w:p>
        </w:tc>
      </w:tr>
      <w:tr w:rsidR="00C34CF3" w:rsidTr="00856E83">
        <w:tc>
          <w:tcPr>
            <w:tcW w:w="1984" w:type="dxa"/>
            <w:vMerge/>
            <w:shd w:val="clear" w:color="auto" w:fill="FBE4D5" w:themeFill="accent2" w:themeFillTint="33"/>
            <w:vAlign w:val="center"/>
          </w:tcPr>
          <w:p w:rsidR="00C34CF3" w:rsidRDefault="00C34CF3" w:rsidP="00AC7F5C">
            <w:pPr>
              <w:jc w:val="center"/>
            </w:pPr>
          </w:p>
        </w:tc>
        <w:tc>
          <w:tcPr>
            <w:tcW w:w="3685" w:type="dxa"/>
            <w:shd w:val="clear" w:color="auto" w:fill="FBE4D5" w:themeFill="accent2" w:themeFillTint="33"/>
            <w:vAlign w:val="center"/>
          </w:tcPr>
          <w:p w:rsidR="00C34CF3" w:rsidRDefault="00C34CF3" w:rsidP="00AC7F5C">
            <w:pPr>
              <w:jc w:val="left"/>
            </w:pPr>
            <w:r>
              <w:t>Soumis à l’impôt sur le revenu</w:t>
            </w:r>
          </w:p>
        </w:tc>
        <w:tc>
          <w:tcPr>
            <w:tcW w:w="3685" w:type="dxa"/>
            <w:vMerge/>
            <w:shd w:val="clear" w:color="auto" w:fill="FBE4D5" w:themeFill="accent2" w:themeFillTint="33"/>
            <w:vAlign w:val="center"/>
          </w:tcPr>
          <w:p w:rsidR="00C34CF3" w:rsidRDefault="00C34CF3" w:rsidP="00AC7F5C">
            <w:pPr>
              <w:jc w:val="left"/>
            </w:pPr>
          </w:p>
        </w:tc>
      </w:tr>
      <w:tr w:rsidR="00C34CF3" w:rsidTr="00856E83">
        <w:tc>
          <w:tcPr>
            <w:tcW w:w="1984" w:type="dxa"/>
            <w:vMerge/>
            <w:shd w:val="clear" w:color="auto" w:fill="FBE4D5" w:themeFill="accent2" w:themeFillTint="33"/>
            <w:vAlign w:val="center"/>
          </w:tcPr>
          <w:p w:rsidR="00C34CF3" w:rsidRDefault="00C34CF3" w:rsidP="00AC7F5C">
            <w:pPr>
              <w:jc w:val="center"/>
            </w:pPr>
          </w:p>
        </w:tc>
        <w:tc>
          <w:tcPr>
            <w:tcW w:w="3685" w:type="dxa"/>
            <w:shd w:val="clear" w:color="auto" w:fill="FBE4D5" w:themeFill="accent2" w:themeFillTint="33"/>
            <w:vAlign w:val="center"/>
          </w:tcPr>
          <w:p w:rsidR="00C34CF3" w:rsidRDefault="00C34CF3" w:rsidP="00AC7F5C">
            <w:pPr>
              <w:jc w:val="left"/>
            </w:pPr>
            <w:r>
              <w:t>Attestation sur l’honneur à produire</w:t>
            </w:r>
            <w:r>
              <w:rPr>
                <w:rStyle w:val="Appelnotedebasdep"/>
              </w:rPr>
              <w:footnoteReference w:id="14"/>
            </w:r>
          </w:p>
        </w:tc>
        <w:tc>
          <w:tcPr>
            <w:tcW w:w="3685" w:type="dxa"/>
            <w:vMerge/>
            <w:shd w:val="clear" w:color="auto" w:fill="FBE4D5" w:themeFill="accent2" w:themeFillTint="33"/>
            <w:vAlign w:val="center"/>
          </w:tcPr>
          <w:p w:rsidR="00C34CF3" w:rsidRDefault="00C34CF3" w:rsidP="00AC7F5C">
            <w:pPr>
              <w:jc w:val="left"/>
            </w:pPr>
          </w:p>
        </w:tc>
      </w:tr>
    </w:tbl>
    <w:p w:rsidR="00A404C1" w:rsidRDefault="00A404C1"/>
    <w:p w:rsidR="008549BE" w:rsidRPr="008549BE" w:rsidRDefault="00EB0CA3" w:rsidP="008549BE">
      <w:r>
        <w:sym w:font="Wingdings" w:char="F0F0"/>
      </w:r>
      <w:r>
        <w:t xml:space="preserve"> </w:t>
      </w:r>
      <w:r w:rsidR="008549BE" w:rsidRPr="00EB0CA3">
        <w:rPr>
          <w:rFonts w:ascii="Poppins SemiBold" w:hAnsi="Poppins SemiBold" w:cs="Poppins SemiBold"/>
        </w:rPr>
        <w:t>Pour le salarié, le financement PCH présente plus d’avantages et moins d’inconvénients</w:t>
      </w:r>
      <w:r w:rsidR="008549BE">
        <w:t xml:space="preserve"> que l’indemnisation exceptionnelle.</w:t>
      </w:r>
    </w:p>
    <w:p w:rsidR="00354AB9" w:rsidRDefault="00354AB9"/>
    <w:p w:rsidR="00354AB9" w:rsidRDefault="00354AB9"/>
    <w:p w:rsidR="00F634C0" w:rsidRDefault="00F634C0">
      <w:pPr>
        <w:spacing w:after="160" w:line="259" w:lineRule="auto"/>
        <w:jc w:val="left"/>
        <w:rPr>
          <w:rFonts w:ascii="Poppins SemiBold" w:eastAsiaTheme="majorEastAsia" w:hAnsi="Poppins SemiBold" w:cstheme="majorBidi"/>
          <w:color w:val="00536B"/>
          <w:sz w:val="28"/>
          <w:szCs w:val="32"/>
        </w:rPr>
      </w:pPr>
      <w:r>
        <w:br w:type="page"/>
      </w:r>
    </w:p>
    <w:p w:rsidR="000031EA" w:rsidRDefault="000031EA" w:rsidP="004A286A">
      <w:pPr>
        <w:pStyle w:val="Titre2"/>
      </w:pPr>
      <w:bookmarkStart w:id="11" w:name="_Toc36560615"/>
      <w:r>
        <w:lastRenderedPageBreak/>
        <w:t>Point de vue de la mission mandataire</w:t>
      </w:r>
      <w:bookmarkEnd w:id="11"/>
    </w:p>
    <w:p w:rsidR="004A286A" w:rsidRPr="004A286A" w:rsidRDefault="004A286A" w:rsidP="004A286A"/>
    <w:p w:rsidR="000031EA" w:rsidRDefault="00856E83">
      <w:r>
        <w:t xml:space="preserve">Compte tenu du rapport avantages/inconvénients, </w:t>
      </w:r>
      <w:r w:rsidRPr="00EB0CA3">
        <w:rPr>
          <w:rFonts w:ascii="Poppins SemiBold" w:hAnsi="Poppins SemiBold" w:cs="Poppins SemiBold"/>
        </w:rPr>
        <w:t>nous déconseillons aux PESH de recourir à l’indemnisation exceptionnelle</w:t>
      </w:r>
      <w:r w:rsidR="001E45AB">
        <w:rPr>
          <w:rFonts w:ascii="Poppins SemiBold" w:hAnsi="Poppins SemiBold" w:cs="Poppins SemiBold"/>
        </w:rPr>
        <w:t xml:space="preserve">, </w:t>
      </w:r>
      <w:r w:rsidR="001E45AB">
        <w:t>sauf en complément du financement PCH pour couvrir d’éventuels restes à charge</w:t>
      </w:r>
      <w:r>
        <w:t>.</w:t>
      </w:r>
    </w:p>
    <w:p w:rsidR="00EB0CA3" w:rsidRDefault="00EB0CA3"/>
    <w:p w:rsidR="00856E83" w:rsidRDefault="001E45AB">
      <w:r>
        <w:sym w:font="Wingdings" w:char="F0F0"/>
      </w:r>
      <w:r>
        <w:t xml:space="preserve"> Les</w:t>
      </w:r>
      <w:r w:rsidR="00856E83">
        <w:t xml:space="preserve"> PESH </w:t>
      </w:r>
      <w:r w:rsidR="00EB0CA3">
        <w:t xml:space="preserve">clients Mand’APF </w:t>
      </w:r>
      <w:r w:rsidR="00856E83">
        <w:t xml:space="preserve">sont en majorité </w:t>
      </w:r>
      <w:proofErr w:type="spellStart"/>
      <w:r w:rsidR="00856E83">
        <w:t>solvabilisés</w:t>
      </w:r>
      <w:proofErr w:type="spellEnd"/>
      <w:r w:rsidR="00856E83">
        <w:t xml:space="preserve"> par la PCH : dans ce contexte, l’indemnisation exceptionnelle n’est pas indispensable pour notre public.</w:t>
      </w:r>
    </w:p>
    <w:p w:rsidR="00EB0CA3" w:rsidRDefault="00EB0CA3"/>
    <w:p w:rsidR="001E45AB" w:rsidRDefault="001E45AB">
      <w:r>
        <w:sym w:font="Wingdings" w:char="F0F0"/>
      </w:r>
      <w:r>
        <w:t xml:space="preserve"> </w:t>
      </w:r>
      <w:r w:rsidR="008549BE">
        <w:t xml:space="preserve">Si un PESH a mobilisé plus d’heures que son plan d’aide PCH, l’indemnisation exceptionnelle peut </w:t>
      </w:r>
      <w:r w:rsidR="00EB0CA3">
        <w:t xml:space="preserve">éventuellement </w:t>
      </w:r>
      <w:r w:rsidR="008549BE">
        <w:t xml:space="preserve">couvrir le reste à charge PCH. </w:t>
      </w:r>
    </w:p>
    <w:p w:rsidR="008549BE" w:rsidRDefault="008549BE">
      <w:r>
        <w:t xml:space="preserve">Dans ce cas, il faut </w:t>
      </w:r>
      <w:r w:rsidR="004A286A">
        <w:t>aussi</w:t>
      </w:r>
      <w:r>
        <w:t xml:space="preserve"> interroger un éventuel besoin de réévaluation du plan d’aide PCH – </w:t>
      </w:r>
      <w:r w:rsidRPr="008549BE">
        <w:rPr>
          <w:i/>
        </w:rPr>
        <w:t>la personne a-t-elle une réponse PCH à la hauteur de ses besoins réels ?</w:t>
      </w:r>
      <w:r>
        <w:t xml:space="preserve"> – et l’accompagner dans cette réévaluation. </w:t>
      </w:r>
    </w:p>
    <w:p w:rsidR="008549BE" w:rsidRDefault="008549BE"/>
    <w:p w:rsidR="00F134B7" w:rsidRPr="00F134B7" w:rsidRDefault="00F134B7" w:rsidP="00220A49">
      <w:pPr>
        <w:spacing w:after="160" w:line="259" w:lineRule="auto"/>
        <w:jc w:val="left"/>
      </w:pPr>
    </w:p>
    <w:sectPr w:rsidR="00F134B7" w:rsidRPr="00F134B7" w:rsidSect="006A6AB8">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BAD" w:rsidRDefault="00D91BAD" w:rsidP="002E6850">
      <w:r>
        <w:separator/>
      </w:r>
    </w:p>
  </w:endnote>
  <w:endnote w:type="continuationSeparator" w:id="0">
    <w:p w:rsidR="00D91BAD" w:rsidRDefault="00D91BAD" w:rsidP="002E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oppins">
    <w:panose1 w:val="02000000000000000000"/>
    <w:charset w:val="00"/>
    <w:family w:val="auto"/>
    <w:pitch w:val="variable"/>
    <w:sig w:usb0="00008007" w:usb1="00000000" w:usb2="00000000" w:usb3="00000000" w:csb0="00000093" w:csb1="00000000"/>
  </w:font>
  <w:font w:name="Poppins SemiBold">
    <w:panose1 w:val="020000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BAD" w:rsidRDefault="00D91BAD" w:rsidP="002E6850">
      <w:r>
        <w:separator/>
      </w:r>
    </w:p>
  </w:footnote>
  <w:footnote w:type="continuationSeparator" w:id="0">
    <w:p w:rsidR="00D91BAD" w:rsidRDefault="00D91BAD" w:rsidP="002E6850">
      <w:r>
        <w:continuationSeparator/>
      </w:r>
    </w:p>
  </w:footnote>
  <w:footnote w:id="1">
    <w:p w:rsidR="00354AB9" w:rsidRPr="00504776" w:rsidRDefault="00354AB9">
      <w:pPr>
        <w:pStyle w:val="Notedebasdepage"/>
        <w:rPr>
          <w:sz w:val="16"/>
        </w:rPr>
      </w:pPr>
      <w:r w:rsidRPr="00504776">
        <w:rPr>
          <w:rStyle w:val="Appelnotedebasdep"/>
          <w:sz w:val="16"/>
        </w:rPr>
        <w:footnoteRef/>
      </w:r>
      <w:r w:rsidRPr="00504776">
        <w:rPr>
          <w:sz w:val="16"/>
        </w:rPr>
        <w:t xml:space="preserve"> Par exemple : crainte d’être contaminé, relais familial, changement du lieu de résidence pendant le confinement…</w:t>
      </w:r>
    </w:p>
  </w:footnote>
  <w:footnote w:id="2">
    <w:p w:rsidR="003565A2" w:rsidRPr="003565A2" w:rsidRDefault="003565A2">
      <w:pPr>
        <w:pStyle w:val="Notedebasdepage"/>
        <w:rPr>
          <w:sz w:val="16"/>
        </w:rPr>
      </w:pPr>
      <w:r w:rsidRPr="003565A2">
        <w:rPr>
          <w:rStyle w:val="Appelnotedebasdep"/>
          <w:sz w:val="16"/>
        </w:rPr>
        <w:footnoteRef/>
      </w:r>
      <w:r w:rsidRPr="003565A2">
        <w:rPr>
          <w:sz w:val="16"/>
        </w:rPr>
        <w:t xml:space="preserve"> Il n’y a pas besoin de justifier pourquoi le salarié n’est pas venu travailler (décision du PE ou choix du salarié). Légalement, le PE n’a pas à verser le salaire si le salarié n’est pas venu travailler (hors arrêt de travail pour maladie ou pour garde d’enfant)</w:t>
      </w:r>
      <w:r>
        <w:rPr>
          <w:sz w:val="16"/>
        </w:rPr>
        <w:t xml:space="preserve"> ; toutefois, le PE peut décider de payer le salarié absent et demander à bénéficier de </w:t>
      </w:r>
      <w:r w:rsidRPr="003565A2">
        <w:rPr>
          <w:sz w:val="16"/>
        </w:rPr>
        <w:t>l’indemn</w:t>
      </w:r>
      <w:r>
        <w:rPr>
          <w:sz w:val="16"/>
        </w:rPr>
        <w:t>ité exceptionnelle.</w:t>
      </w:r>
    </w:p>
  </w:footnote>
  <w:footnote w:id="3">
    <w:p w:rsidR="00D940CD" w:rsidRPr="00D940CD" w:rsidRDefault="00D940CD">
      <w:pPr>
        <w:pStyle w:val="Notedebasdepage"/>
        <w:rPr>
          <w:sz w:val="16"/>
        </w:rPr>
      </w:pPr>
      <w:r w:rsidRPr="00D940CD">
        <w:rPr>
          <w:rStyle w:val="Appelnotedebasdep"/>
          <w:sz w:val="16"/>
        </w:rPr>
        <w:footnoteRef/>
      </w:r>
      <w:r w:rsidRPr="00D940CD">
        <w:rPr>
          <w:sz w:val="16"/>
        </w:rPr>
        <w:t xml:space="preserve"> Elles peuvent varier selon les mois.</w:t>
      </w:r>
    </w:p>
  </w:footnote>
  <w:footnote w:id="4">
    <w:p w:rsidR="007E7180" w:rsidRPr="007E7180" w:rsidRDefault="007E7180">
      <w:pPr>
        <w:pStyle w:val="Notedebasdepage"/>
        <w:rPr>
          <w:sz w:val="16"/>
        </w:rPr>
      </w:pPr>
      <w:r w:rsidRPr="007E7180">
        <w:rPr>
          <w:rStyle w:val="Appelnotedebasdep"/>
          <w:sz w:val="16"/>
        </w:rPr>
        <w:footnoteRef/>
      </w:r>
      <w:r w:rsidRPr="007E7180">
        <w:rPr>
          <w:sz w:val="16"/>
        </w:rPr>
        <w:t xml:space="preserve"> C’est </w:t>
      </w:r>
      <w:r>
        <w:rPr>
          <w:sz w:val="16"/>
        </w:rPr>
        <w:t xml:space="preserve">notamment </w:t>
      </w:r>
      <w:r w:rsidRPr="007E7180">
        <w:rPr>
          <w:sz w:val="16"/>
        </w:rPr>
        <w:t>intéressant dans les départements où le contrôle d’effectivité de la PCH est restrictif (par exemple, refus de prendre en charge des heures non travaillées</w:t>
      </w:r>
      <w:r>
        <w:rPr>
          <w:sz w:val="16"/>
        </w:rPr>
        <w:t>, contrôle mensuel, etc.</w:t>
      </w:r>
      <w:r w:rsidRPr="007E7180">
        <w:rPr>
          <w:sz w:val="16"/>
        </w:rPr>
        <w:t>).</w:t>
      </w:r>
    </w:p>
  </w:footnote>
  <w:footnote w:id="5">
    <w:p w:rsidR="002E6850" w:rsidRPr="00504776" w:rsidRDefault="002E6850">
      <w:pPr>
        <w:pStyle w:val="Notedebasdepage"/>
        <w:rPr>
          <w:sz w:val="16"/>
        </w:rPr>
      </w:pPr>
      <w:r w:rsidRPr="00504776">
        <w:rPr>
          <w:rStyle w:val="Appelnotedebasdep"/>
          <w:sz w:val="16"/>
        </w:rPr>
        <w:footnoteRef/>
      </w:r>
      <w:r w:rsidRPr="00504776">
        <w:rPr>
          <w:sz w:val="16"/>
        </w:rPr>
        <w:t xml:space="preserve"> Les 20% restants sont payés par le PE s’il le décide (pas d’obligation)</w:t>
      </w:r>
    </w:p>
  </w:footnote>
  <w:footnote w:id="6">
    <w:p w:rsidR="002E6850" w:rsidRPr="00504776" w:rsidRDefault="002E6850" w:rsidP="002E6850">
      <w:pPr>
        <w:pStyle w:val="Notedebasdepage"/>
        <w:rPr>
          <w:sz w:val="16"/>
        </w:rPr>
      </w:pPr>
      <w:r w:rsidRPr="00504776">
        <w:rPr>
          <w:rStyle w:val="Appelnotedebasdep"/>
          <w:sz w:val="16"/>
        </w:rPr>
        <w:footnoteRef/>
      </w:r>
      <w:r w:rsidRPr="00504776">
        <w:rPr>
          <w:sz w:val="16"/>
        </w:rPr>
        <w:t xml:space="preserve"> Dans la limite du tarif PCH en emploi direct et des heures PCH accordées</w:t>
      </w:r>
    </w:p>
  </w:footnote>
  <w:footnote w:id="7">
    <w:p w:rsidR="00C34CF3" w:rsidRDefault="00C34CF3" w:rsidP="00C34CF3">
      <w:pPr>
        <w:pStyle w:val="Notedebasdepage"/>
      </w:pPr>
      <w:r w:rsidRPr="00D534FB">
        <w:rPr>
          <w:rStyle w:val="Appelnotedebasdep"/>
          <w:sz w:val="16"/>
        </w:rPr>
        <w:footnoteRef/>
      </w:r>
      <w:r w:rsidRPr="00D534FB">
        <w:rPr>
          <w:sz w:val="16"/>
        </w:rPr>
        <w:t xml:space="preserve"> Face au risque de contamination, le PE peut souhaiter limiter temporairement le nombre de salariés qui viennent travailler à son domicile. Il peut alors changer l’organisation de son équipe : mobiliser moins de salariés sur des temps plus longs (financement PCH habituel) et recourir au « chômage partiel » pour les salariés qui ne travaillent pas (indemnisation exceptionnelle). Dans ce cas, l’indemnisation exceptionnelle vient en complément financier de la PCH.</w:t>
      </w:r>
    </w:p>
  </w:footnote>
  <w:footnote w:id="8">
    <w:p w:rsidR="00C34CF3" w:rsidRPr="00C34CF3" w:rsidRDefault="00C34CF3">
      <w:pPr>
        <w:pStyle w:val="Notedebasdepage"/>
        <w:rPr>
          <w:sz w:val="16"/>
        </w:rPr>
      </w:pPr>
      <w:r w:rsidRPr="00C34CF3">
        <w:rPr>
          <w:rStyle w:val="Appelnotedebasdep"/>
          <w:sz w:val="16"/>
        </w:rPr>
        <w:footnoteRef/>
      </w:r>
      <w:r w:rsidRPr="00C34CF3">
        <w:rPr>
          <w:sz w:val="16"/>
        </w:rPr>
        <w:t xml:space="preserve"> C’est possible en fonction du contrôle d’effectivité du CD et dans la limite des heures PCH accordées.</w:t>
      </w:r>
    </w:p>
  </w:footnote>
  <w:footnote w:id="9">
    <w:p w:rsidR="00C34CF3" w:rsidRPr="00C34CF3" w:rsidRDefault="00C34CF3">
      <w:pPr>
        <w:pStyle w:val="Notedebasdepage"/>
        <w:rPr>
          <w:sz w:val="16"/>
        </w:rPr>
      </w:pPr>
      <w:r w:rsidRPr="00C34CF3">
        <w:rPr>
          <w:rStyle w:val="Appelnotedebasdep"/>
          <w:sz w:val="16"/>
        </w:rPr>
        <w:footnoteRef/>
      </w:r>
      <w:r w:rsidRPr="00C34CF3">
        <w:rPr>
          <w:sz w:val="16"/>
        </w:rPr>
        <w:t xml:space="preserve"> Décompte des heures non travaillées, double déclaration CESU, remplissage d’un formulaire, </w:t>
      </w:r>
      <w:r>
        <w:rPr>
          <w:sz w:val="16"/>
        </w:rPr>
        <w:t>etc. P</w:t>
      </w:r>
      <w:r w:rsidRPr="00C34CF3">
        <w:rPr>
          <w:sz w:val="16"/>
        </w:rPr>
        <w:t xml:space="preserve">lus d’info : </w:t>
      </w:r>
      <w:hyperlink r:id="rId1" w:history="1">
        <w:r w:rsidRPr="00C34CF3">
          <w:rPr>
            <w:rStyle w:val="Lienhypertexte"/>
            <w:sz w:val="16"/>
          </w:rPr>
          <w:t>https://www.cesu.urssaf.fr/info/accueil/question-du-moment/covid-19--votre-declaration-du-m.html</w:t>
        </w:r>
      </w:hyperlink>
      <w:r w:rsidRPr="00C34CF3">
        <w:rPr>
          <w:sz w:val="16"/>
        </w:rPr>
        <w:t xml:space="preserve"> </w:t>
      </w:r>
    </w:p>
  </w:footnote>
  <w:footnote w:id="10">
    <w:p w:rsidR="00C05B7B" w:rsidRPr="00F634C0" w:rsidRDefault="00C05B7B">
      <w:pPr>
        <w:pStyle w:val="Notedebasdepage"/>
        <w:rPr>
          <w:sz w:val="16"/>
        </w:rPr>
      </w:pPr>
      <w:r w:rsidRPr="00F634C0">
        <w:rPr>
          <w:rStyle w:val="Appelnotedebasdep"/>
          <w:sz w:val="16"/>
        </w:rPr>
        <w:footnoteRef/>
      </w:r>
      <w:r w:rsidRPr="00F634C0">
        <w:rPr>
          <w:sz w:val="16"/>
        </w:rPr>
        <w:t xml:space="preserve"> </w:t>
      </w:r>
      <w:r w:rsidR="00F634C0" w:rsidRPr="00F634C0">
        <w:rPr>
          <w:sz w:val="16"/>
        </w:rPr>
        <w:t>Cela dépend des modalités du contrôle d’effectivité définies par chaque CD.</w:t>
      </w:r>
      <w:r w:rsidRPr="00F634C0">
        <w:rPr>
          <w:sz w:val="16"/>
        </w:rPr>
        <w:t xml:space="preserve"> </w:t>
      </w:r>
    </w:p>
  </w:footnote>
  <w:footnote w:id="11">
    <w:p w:rsidR="00C05B7B" w:rsidRPr="00504776" w:rsidRDefault="00C05B7B">
      <w:pPr>
        <w:pStyle w:val="Notedebasdepage"/>
        <w:rPr>
          <w:sz w:val="16"/>
        </w:rPr>
      </w:pPr>
      <w:r w:rsidRPr="00504776">
        <w:rPr>
          <w:rStyle w:val="Appelnotedebasdep"/>
          <w:sz w:val="16"/>
        </w:rPr>
        <w:footnoteRef/>
      </w:r>
      <w:r w:rsidRPr="00504776">
        <w:rPr>
          <w:sz w:val="16"/>
        </w:rPr>
        <w:t xml:space="preserve"> On peut imaginer que le PE demande une prise en charge PCH pou</w:t>
      </w:r>
      <w:r>
        <w:rPr>
          <w:sz w:val="16"/>
        </w:rPr>
        <w:t>r ce complément de rémunération mais le CD peut refuser de prendre en charge le maintien de salaire. Cela dépend des modalités du contrôle d’effectivité mises en œuvre par chaque CD.</w:t>
      </w:r>
    </w:p>
  </w:footnote>
  <w:footnote w:id="12">
    <w:p w:rsidR="00C05B7B" w:rsidRPr="00C05B7B" w:rsidRDefault="00C05B7B">
      <w:pPr>
        <w:pStyle w:val="Notedebasdepage"/>
        <w:rPr>
          <w:sz w:val="16"/>
        </w:rPr>
      </w:pPr>
      <w:r w:rsidRPr="00C05B7B">
        <w:rPr>
          <w:rStyle w:val="Appelnotedebasdep"/>
          <w:sz w:val="16"/>
        </w:rPr>
        <w:footnoteRef/>
      </w:r>
      <w:r w:rsidRPr="00C05B7B">
        <w:rPr>
          <w:sz w:val="16"/>
        </w:rPr>
        <w:t xml:space="preserve"> Le PE doit faire remplir au salarié une attestation sur l’honneur où il déclare que les heures </w:t>
      </w:r>
      <w:r>
        <w:rPr>
          <w:sz w:val="16"/>
        </w:rPr>
        <w:t xml:space="preserve">prises en charge par l’indemnisation exceptionnelle </w:t>
      </w:r>
      <w:r w:rsidRPr="00C05B7B">
        <w:rPr>
          <w:sz w:val="16"/>
        </w:rPr>
        <w:t>non pas été travaillées et la conserver en cas de contrôle.</w:t>
      </w:r>
      <w:r w:rsidR="00C34CF3">
        <w:rPr>
          <w:sz w:val="16"/>
        </w:rPr>
        <w:t xml:space="preserve"> Les modalités de ce contrôle ne sont pas connues pour l’instant.</w:t>
      </w:r>
    </w:p>
  </w:footnote>
  <w:footnote w:id="13">
    <w:p w:rsidR="00C34CF3" w:rsidRPr="00D534FB" w:rsidRDefault="00C34CF3">
      <w:pPr>
        <w:pStyle w:val="Notedebasdepage"/>
        <w:rPr>
          <w:sz w:val="16"/>
        </w:rPr>
      </w:pPr>
      <w:r w:rsidRPr="00D534FB">
        <w:rPr>
          <w:rStyle w:val="Appelnotedebasdep"/>
          <w:sz w:val="16"/>
        </w:rPr>
        <w:footnoteRef/>
      </w:r>
      <w:r w:rsidRPr="00D534FB">
        <w:rPr>
          <w:sz w:val="16"/>
        </w:rPr>
        <w:t xml:space="preserve"> Si le PE ne verse que le montant correspondant à l’indemnisation exceptionnelle (limitée à 80% des heures non réalisées).</w:t>
      </w:r>
      <w:r w:rsidR="001E45AB">
        <w:rPr>
          <w:sz w:val="16"/>
        </w:rPr>
        <w:t xml:space="preserve"> </w:t>
      </w:r>
    </w:p>
  </w:footnote>
  <w:footnote w:id="14">
    <w:p w:rsidR="00C34CF3" w:rsidRDefault="00C34CF3" w:rsidP="00F634C0">
      <w:pPr>
        <w:pStyle w:val="Notedebasdepage"/>
      </w:pPr>
      <w:r>
        <w:rPr>
          <w:rStyle w:val="Appelnotedebasdep"/>
        </w:rPr>
        <w:footnoteRef/>
      </w:r>
      <w:r>
        <w:t xml:space="preserve"> </w:t>
      </w:r>
      <w:r w:rsidRPr="00C05B7B">
        <w:rPr>
          <w:sz w:val="16"/>
        </w:rPr>
        <w:t xml:space="preserve">Le salarié </w:t>
      </w:r>
      <w:r>
        <w:rPr>
          <w:sz w:val="16"/>
        </w:rPr>
        <w:t xml:space="preserve">doit établir </w:t>
      </w:r>
      <w:r w:rsidRPr="00C05B7B">
        <w:rPr>
          <w:sz w:val="16"/>
        </w:rPr>
        <w:t xml:space="preserve">une attestation sur l’honneur où il déclare que les heures </w:t>
      </w:r>
      <w:r>
        <w:rPr>
          <w:sz w:val="16"/>
        </w:rPr>
        <w:t xml:space="preserve">prises en charge par l’indemnisation exceptionnelle </w:t>
      </w:r>
      <w:r w:rsidRPr="00C05B7B">
        <w:rPr>
          <w:sz w:val="16"/>
        </w:rPr>
        <w:t>non pas été travaillées</w:t>
      </w:r>
      <w:r>
        <w:rPr>
          <w:sz w:val="16"/>
        </w:rPr>
        <w:t xml:space="preserve"> (contrôle a posteriori). Il n’existe pas de modèle pour l’instant.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AB8" w:rsidRDefault="006A6AB8">
    <w:pPr>
      <w:pStyle w:val="En-tte"/>
    </w:pPr>
    <w:r>
      <w:rPr>
        <w:noProof/>
        <w:lang w:eastAsia="fr-FR"/>
      </w:rPr>
      <w:drawing>
        <wp:inline distT="0" distB="0" distL="0" distR="0" wp14:anchorId="1579A7DE" wp14:editId="140D6CAB">
          <wp:extent cx="2634897" cy="900000"/>
          <wp:effectExtent l="0" t="0" r="0" b="0"/>
          <wp:docPr id="1" name="2018 05 - Logo Mission mandataire - Sans fond.png"/>
          <wp:cNvGraphicFramePr/>
          <a:graphic xmlns:a="http://schemas.openxmlformats.org/drawingml/2006/main">
            <a:graphicData uri="http://schemas.openxmlformats.org/drawingml/2006/picture">
              <pic:pic xmlns:pic="http://schemas.openxmlformats.org/drawingml/2006/picture">
                <pic:nvPicPr>
                  <pic:cNvPr id="1" name="2018 05 - Logo Mission mandataire - Sans fo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4897" cy="9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10B0"/>
    <w:multiLevelType w:val="hybridMultilevel"/>
    <w:tmpl w:val="247297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884751"/>
    <w:multiLevelType w:val="hybridMultilevel"/>
    <w:tmpl w:val="7AC42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EF203C"/>
    <w:multiLevelType w:val="hybridMultilevel"/>
    <w:tmpl w:val="B09615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AF3C7E"/>
    <w:multiLevelType w:val="hybridMultilevel"/>
    <w:tmpl w:val="CA0CC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973B31"/>
    <w:multiLevelType w:val="hybridMultilevel"/>
    <w:tmpl w:val="B05644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BA4E78"/>
    <w:multiLevelType w:val="hybridMultilevel"/>
    <w:tmpl w:val="43A8E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790FE1"/>
    <w:multiLevelType w:val="hybridMultilevel"/>
    <w:tmpl w:val="966E770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D86EA7"/>
    <w:multiLevelType w:val="hybridMultilevel"/>
    <w:tmpl w:val="1D9AF5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8D1E86"/>
    <w:multiLevelType w:val="hybridMultilevel"/>
    <w:tmpl w:val="13CA73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F45F51"/>
    <w:multiLevelType w:val="hybridMultilevel"/>
    <w:tmpl w:val="EBC462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A34392E"/>
    <w:multiLevelType w:val="hybridMultilevel"/>
    <w:tmpl w:val="A8B806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89B4702"/>
    <w:multiLevelType w:val="hybridMultilevel"/>
    <w:tmpl w:val="CC36D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2F4B42"/>
    <w:multiLevelType w:val="hybridMultilevel"/>
    <w:tmpl w:val="D91C89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083244"/>
    <w:multiLevelType w:val="hybridMultilevel"/>
    <w:tmpl w:val="38CEC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1BB7438"/>
    <w:multiLevelType w:val="hybridMultilevel"/>
    <w:tmpl w:val="D4066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3850BFC"/>
    <w:multiLevelType w:val="hybridMultilevel"/>
    <w:tmpl w:val="07AA44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5049D0"/>
    <w:multiLevelType w:val="hybridMultilevel"/>
    <w:tmpl w:val="FD2E99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8"/>
  </w:num>
  <w:num w:numId="4">
    <w:abstractNumId w:val="9"/>
  </w:num>
  <w:num w:numId="5">
    <w:abstractNumId w:val="3"/>
  </w:num>
  <w:num w:numId="6">
    <w:abstractNumId w:val="5"/>
  </w:num>
  <w:num w:numId="7">
    <w:abstractNumId w:val="6"/>
  </w:num>
  <w:num w:numId="8">
    <w:abstractNumId w:val="16"/>
  </w:num>
  <w:num w:numId="9">
    <w:abstractNumId w:val="10"/>
  </w:num>
  <w:num w:numId="10">
    <w:abstractNumId w:val="15"/>
  </w:num>
  <w:num w:numId="11">
    <w:abstractNumId w:val="14"/>
  </w:num>
  <w:num w:numId="12">
    <w:abstractNumId w:val="11"/>
  </w:num>
  <w:num w:numId="13">
    <w:abstractNumId w:val="0"/>
  </w:num>
  <w:num w:numId="14">
    <w:abstractNumId w:val="12"/>
  </w:num>
  <w:num w:numId="15">
    <w:abstractNumId w:val="1"/>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ACB"/>
    <w:rsid w:val="000031EA"/>
    <w:rsid w:val="00042A1B"/>
    <w:rsid w:val="00053FDC"/>
    <w:rsid w:val="000B7215"/>
    <w:rsid w:val="00167FF0"/>
    <w:rsid w:val="001E45AB"/>
    <w:rsid w:val="00216503"/>
    <w:rsid w:val="00220A49"/>
    <w:rsid w:val="00256ACB"/>
    <w:rsid w:val="002E6850"/>
    <w:rsid w:val="00354AB9"/>
    <w:rsid w:val="003565A2"/>
    <w:rsid w:val="00366BB9"/>
    <w:rsid w:val="00415BCA"/>
    <w:rsid w:val="00453EC2"/>
    <w:rsid w:val="00480071"/>
    <w:rsid w:val="004A286A"/>
    <w:rsid w:val="004C2CE0"/>
    <w:rsid w:val="00504776"/>
    <w:rsid w:val="005123A1"/>
    <w:rsid w:val="005249B1"/>
    <w:rsid w:val="00574925"/>
    <w:rsid w:val="0057756D"/>
    <w:rsid w:val="00591043"/>
    <w:rsid w:val="005B68F3"/>
    <w:rsid w:val="00611D31"/>
    <w:rsid w:val="00645FB6"/>
    <w:rsid w:val="006A6AB8"/>
    <w:rsid w:val="006D0E0F"/>
    <w:rsid w:val="006D18A8"/>
    <w:rsid w:val="007370C5"/>
    <w:rsid w:val="00743EE2"/>
    <w:rsid w:val="007A5BB6"/>
    <w:rsid w:val="007E7180"/>
    <w:rsid w:val="008549BE"/>
    <w:rsid w:val="00856E83"/>
    <w:rsid w:val="0086309E"/>
    <w:rsid w:val="008B576E"/>
    <w:rsid w:val="009158F7"/>
    <w:rsid w:val="00963DFB"/>
    <w:rsid w:val="00A404C1"/>
    <w:rsid w:val="00A77711"/>
    <w:rsid w:val="00A8278E"/>
    <w:rsid w:val="00AB6F69"/>
    <w:rsid w:val="00AC7F5C"/>
    <w:rsid w:val="00B06CCB"/>
    <w:rsid w:val="00BD5788"/>
    <w:rsid w:val="00BE002F"/>
    <w:rsid w:val="00C05B7B"/>
    <w:rsid w:val="00C228FA"/>
    <w:rsid w:val="00C34CF3"/>
    <w:rsid w:val="00C8755A"/>
    <w:rsid w:val="00CF33DA"/>
    <w:rsid w:val="00D534FB"/>
    <w:rsid w:val="00D7030A"/>
    <w:rsid w:val="00D71ED3"/>
    <w:rsid w:val="00D91BAD"/>
    <w:rsid w:val="00D926C3"/>
    <w:rsid w:val="00D940CD"/>
    <w:rsid w:val="00DB686E"/>
    <w:rsid w:val="00DF4F78"/>
    <w:rsid w:val="00E202EE"/>
    <w:rsid w:val="00EB0CA3"/>
    <w:rsid w:val="00EB611D"/>
    <w:rsid w:val="00F134B7"/>
    <w:rsid w:val="00F20DF5"/>
    <w:rsid w:val="00F634C0"/>
    <w:rsid w:val="00F722EF"/>
    <w:rsid w:val="00F96F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B33B1"/>
  <w15:chartTrackingRefBased/>
  <w15:docId w15:val="{4FBF8EE6-F49F-4B55-A9CE-D3119F44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CE0"/>
    <w:pPr>
      <w:spacing w:after="0" w:line="240" w:lineRule="auto"/>
      <w:jc w:val="both"/>
    </w:pPr>
    <w:rPr>
      <w:rFonts w:ascii="Poppins" w:hAnsi="Poppins"/>
      <w:sz w:val="24"/>
    </w:rPr>
  </w:style>
  <w:style w:type="paragraph" w:styleId="Titre1">
    <w:name w:val="heading 1"/>
    <w:basedOn w:val="Normal"/>
    <w:next w:val="Normal"/>
    <w:link w:val="Titre1Car"/>
    <w:uiPriority w:val="9"/>
    <w:qFormat/>
    <w:rsid w:val="00743EE2"/>
    <w:pPr>
      <w:keepNext/>
      <w:keepLines/>
      <w:spacing w:after="120"/>
      <w:jc w:val="left"/>
      <w:outlineLvl w:val="0"/>
    </w:pPr>
    <w:rPr>
      <w:rFonts w:ascii="Poppins SemiBold" w:eastAsiaTheme="majorEastAsia" w:hAnsi="Poppins SemiBold" w:cstheme="majorBidi"/>
      <w:color w:val="00536B"/>
      <w:sz w:val="28"/>
      <w:szCs w:val="32"/>
    </w:rPr>
  </w:style>
  <w:style w:type="paragraph" w:styleId="Titre2">
    <w:name w:val="heading 2"/>
    <w:basedOn w:val="Normal"/>
    <w:next w:val="Normal"/>
    <w:link w:val="Titre2Car"/>
    <w:uiPriority w:val="9"/>
    <w:unhideWhenUsed/>
    <w:qFormat/>
    <w:rsid w:val="00743EE2"/>
    <w:pPr>
      <w:keepNext/>
      <w:keepLines/>
      <w:spacing w:after="120"/>
      <w:jc w:val="left"/>
      <w:outlineLvl w:val="1"/>
    </w:pPr>
    <w:rPr>
      <w:rFonts w:ascii="Poppins SemiBold" w:eastAsiaTheme="majorEastAsia" w:hAnsi="Poppins SemiBold" w:cstheme="majorBidi"/>
      <w:color w:val="5CA1A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A8278E"/>
    <w:pPr>
      <w:spacing w:after="120"/>
      <w:jc w:val="center"/>
    </w:pPr>
    <w:rPr>
      <w:rFonts w:ascii="Poppins SemiBold" w:eastAsiaTheme="majorEastAsia" w:hAnsi="Poppins SemiBold" w:cstheme="majorBidi"/>
      <w:color w:val="00536B"/>
      <w:spacing w:val="-10"/>
      <w:kern w:val="28"/>
      <w:sz w:val="32"/>
      <w:szCs w:val="56"/>
    </w:rPr>
  </w:style>
  <w:style w:type="character" w:customStyle="1" w:styleId="TitreCar">
    <w:name w:val="Titre Car"/>
    <w:basedOn w:val="Policepardfaut"/>
    <w:link w:val="Titre"/>
    <w:uiPriority w:val="10"/>
    <w:rsid w:val="00A8278E"/>
    <w:rPr>
      <w:rFonts w:ascii="Poppins SemiBold" w:eastAsiaTheme="majorEastAsia" w:hAnsi="Poppins SemiBold" w:cstheme="majorBidi"/>
      <w:color w:val="00536B"/>
      <w:spacing w:val="-10"/>
      <w:kern w:val="28"/>
      <w:sz w:val="32"/>
      <w:szCs w:val="56"/>
    </w:rPr>
  </w:style>
  <w:style w:type="character" w:customStyle="1" w:styleId="Titre1Car">
    <w:name w:val="Titre 1 Car"/>
    <w:basedOn w:val="Policepardfaut"/>
    <w:link w:val="Titre1"/>
    <w:uiPriority w:val="9"/>
    <w:rsid w:val="00743EE2"/>
    <w:rPr>
      <w:rFonts w:ascii="Poppins SemiBold" w:eastAsiaTheme="majorEastAsia" w:hAnsi="Poppins SemiBold" w:cstheme="majorBidi"/>
      <w:color w:val="00536B"/>
      <w:sz w:val="28"/>
      <w:szCs w:val="32"/>
    </w:rPr>
  </w:style>
  <w:style w:type="character" w:customStyle="1" w:styleId="Titre2Car">
    <w:name w:val="Titre 2 Car"/>
    <w:basedOn w:val="Policepardfaut"/>
    <w:link w:val="Titre2"/>
    <w:uiPriority w:val="9"/>
    <w:rsid w:val="00743EE2"/>
    <w:rPr>
      <w:rFonts w:ascii="Poppins SemiBold" w:eastAsiaTheme="majorEastAsia" w:hAnsi="Poppins SemiBold" w:cstheme="majorBidi"/>
      <w:color w:val="5CA1A0"/>
      <w:sz w:val="24"/>
      <w:szCs w:val="26"/>
    </w:rPr>
  </w:style>
  <w:style w:type="table" w:styleId="Grilledutableau">
    <w:name w:val="Table Grid"/>
    <w:basedOn w:val="TableauNormal"/>
    <w:uiPriority w:val="39"/>
    <w:rsid w:val="00256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AC7F5C"/>
    <w:pPr>
      <w:spacing w:before="240" w:after="0" w:line="259" w:lineRule="auto"/>
      <w:outlineLvl w:val="9"/>
    </w:pPr>
    <w:rPr>
      <w:rFonts w:asciiTheme="majorHAnsi" w:hAnsiTheme="majorHAnsi"/>
      <w:color w:val="2E74B5" w:themeColor="accent1" w:themeShade="BF"/>
      <w:sz w:val="32"/>
      <w:lang w:eastAsia="fr-FR"/>
    </w:rPr>
  </w:style>
  <w:style w:type="paragraph" w:styleId="TM1">
    <w:name w:val="toc 1"/>
    <w:basedOn w:val="Normal"/>
    <w:next w:val="Normal"/>
    <w:autoRedefine/>
    <w:uiPriority w:val="39"/>
    <w:unhideWhenUsed/>
    <w:rsid w:val="00C228FA"/>
    <w:pPr>
      <w:tabs>
        <w:tab w:val="right" w:leader="dot" w:pos="9062"/>
      </w:tabs>
      <w:spacing w:after="100"/>
    </w:pPr>
    <w:rPr>
      <w:noProof/>
    </w:rPr>
  </w:style>
  <w:style w:type="character" w:styleId="Lienhypertexte">
    <w:name w:val="Hyperlink"/>
    <w:basedOn w:val="Policepardfaut"/>
    <w:uiPriority w:val="99"/>
    <w:unhideWhenUsed/>
    <w:rsid w:val="00AC7F5C"/>
    <w:rPr>
      <w:color w:val="0563C1" w:themeColor="hyperlink"/>
      <w:u w:val="single"/>
    </w:rPr>
  </w:style>
  <w:style w:type="paragraph" w:styleId="Notedebasdepage">
    <w:name w:val="footnote text"/>
    <w:basedOn w:val="Normal"/>
    <w:link w:val="NotedebasdepageCar"/>
    <w:uiPriority w:val="99"/>
    <w:semiHidden/>
    <w:unhideWhenUsed/>
    <w:rsid w:val="002E6850"/>
    <w:rPr>
      <w:sz w:val="20"/>
    </w:rPr>
  </w:style>
  <w:style w:type="character" w:customStyle="1" w:styleId="NotedebasdepageCar">
    <w:name w:val="Note de bas de page Car"/>
    <w:basedOn w:val="Policepardfaut"/>
    <w:link w:val="Notedebasdepage"/>
    <w:uiPriority w:val="99"/>
    <w:semiHidden/>
    <w:rsid w:val="002E6850"/>
    <w:rPr>
      <w:rFonts w:ascii="Poppins" w:hAnsi="Poppins"/>
    </w:rPr>
  </w:style>
  <w:style w:type="character" w:styleId="Appelnotedebasdep">
    <w:name w:val="footnote reference"/>
    <w:basedOn w:val="Policepardfaut"/>
    <w:uiPriority w:val="99"/>
    <w:semiHidden/>
    <w:unhideWhenUsed/>
    <w:rsid w:val="002E6850"/>
    <w:rPr>
      <w:vertAlign w:val="superscript"/>
    </w:rPr>
  </w:style>
  <w:style w:type="paragraph" w:styleId="Paragraphedeliste">
    <w:name w:val="List Paragraph"/>
    <w:basedOn w:val="Normal"/>
    <w:uiPriority w:val="34"/>
    <w:qFormat/>
    <w:rsid w:val="000031EA"/>
    <w:pPr>
      <w:ind w:left="720"/>
      <w:contextualSpacing/>
    </w:pPr>
  </w:style>
  <w:style w:type="paragraph" w:styleId="En-tte">
    <w:name w:val="header"/>
    <w:basedOn w:val="Normal"/>
    <w:link w:val="En-tteCar"/>
    <w:uiPriority w:val="99"/>
    <w:unhideWhenUsed/>
    <w:rsid w:val="006D18A8"/>
    <w:pPr>
      <w:tabs>
        <w:tab w:val="center" w:pos="4536"/>
        <w:tab w:val="right" w:pos="9072"/>
      </w:tabs>
    </w:pPr>
  </w:style>
  <w:style w:type="character" w:customStyle="1" w:styleId="En-tteCar">
    <w:name w:val="En-tête Car"/>
    <w:basedOn w:val="Policepardfaut"/>
    <w:link w:val="En-tte"/>
    <w:uiPriority w:val="99"/>
    <w:rsid w:val="006D18A8"/>
    <w:rPr>
      <w:rFonts w:ascii="Poppins" w:hAnsi="Poppins"/>
      <w:sz w:val="24"/>
    </w:rPr>
  </w:style>
  <w:style w:type="paragraph" w:styleId="Pieddepage">
    <w:name w:val="footer"/>
    <w:basedOn w:val="Normal"/>
    <w:link w:val="PieddepageCar"/>
    <w:uiPriority w:val="99"/>
    <w:unhideWhenUsed/>
    <w:rsid w:val="006D18A8"/>
    <w:pPr>
      <w:tabs>
        <w:tab w:val="center" w:pos="4536"/>
        <w:tab w:val="right" w:pos="9072"/>
      </w:tabs>
    </w:pPr>
  </w:style>
  <w:style w:type="character" w:customStyle="1" w:styleId="PieddepageCar">
    <w:name w:val="Pied de page Car"/>
    <w:basedOn w:val="Policepardfaut"/>
    <w:link w:val="Pieddepage"/>
    <w:uiPriority w:val="99"/>
    <w:rsid w:val="006D18A8"/>
    <w:rPr>
      <w:rFonts w:ascii="Poppins" w:hAnsi="Poppins"/>
      <w:sz w:val="24"/>
    </w:rPr>
  </w:style>
  <w:style w:type="paragraph" w:styleId="TM2">
    <w:name w:val="toc 2"/>
    <w:basedOn w:val="Normal"/>
    <w:next w:val="Normal"/>
    <w:autoRedefine/>
    <w:uiPriority w:val="39"/>
    <w:unhideWhenUsed/>
    <w:rsid w:val="00480071"/>
    <w:pPr>
      <w:spacing w:after="100"/>
      <w:ind w:left="240"/>
    </w:pPr>
  </w:style>
  <w:style w:type="paragraph" w:styleId="NormalWeb">
    <w:name w:val="Normal (Web)"/>
    <w:basedOn w:val="Normal"/>
    <w:uiPriority w:val="99"/>
    <w:semiHidden/>
    <w:unhideWhenUsed/>
    <w:rsid w:val="00645FB6"/>
    <w:pPr>
      <w:spacing w:before="100" w:beforeAutospacing="1" w:after="100" w:afterAutospacing="1"/>
      <w:jc w:val="left"/>
    </w:pPr>
    <w:rPr>
      <w:rFonts w:ascii="Times New Roman" w:hAnsi="Times New Roman" w:cs="Times New Roman"/>
      <w:szCs w:val="24"/>
      <w:lang w:eastAsia="fr-FR"/>
    </w:rPr>
  </w:style>
  <w:style w:type="paragraph" w:customStyle="1" w:styleId="encadre">
    <w:name w:val="encadre"/>
    <w:basedOn w:val="Normal"/>
    <w:uiPriority w:val="99"/>
    <w:semiHidden/>
    <w:rsid w:val="00645FB6"/>
    <w:pPr>
      <w:shd w:val="clear" w:color="auto" w:fill="EEEEEE"/>
      <w:spacing w:before="100" w:beforeAutospacing="1" w:after="100" w:afterAutospacing="1"/>
      <w:jc w:val="left"/>
    </w:pPr>
    <w:rPr>
      <w:rFonts w:ascii="Times New Roman" w:hAnsi="Times New Roman" w:cs="Times New Roman"/>
      <w:szCs w:val="24"/>
      <w:lang w:eastAsia="fr-FR"/>
    </w:rPr>
  </w:style>
  <w:style w:type="character" w:styleId="lev">
    <w:name w:val="Strong"/>
    <w:basedOn w:val="Policepardfaut"/>
    <w:uiPriority w:val="22"/>
    <w:qFormat/>
    <w:rsid w:val="00645F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5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esu.urssaf.fr/info/accueil/question-du-moment/covid-19--votre-declaration-du-m.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9163F-D6EE-44CF-BABA-9D93BA83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1330</Words>
  <Characters>7321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APF</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Responsable Développement Mandataire</dc:creator>
  <cp:keywords/>
  <dc:description/>
  <cp:lastModifiedBy>Responsable Développement Mandataire</cp:lastModifiedBy>
  <cp:revision>2</cp:revision>
  <dcterms:created xsi:type="dcterms:W3CDTF">2020-03-31T13:23:00Z</dcterms:created>
  <dcterms:modified xsi:type="dcterms:W3CDTF">2020-03-31T13:23:00Z</dcterms:modified>
</cp:coreProperties>
</file>